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EastAsia"/>
          <w:b/>
          <w:sz w:val="32"/>
          <w:lang w:val="en-US" w:eastAsia="ja-JP"/>
        </w:rPr>
        <w:id w:val="-34043007"/>
        <w:docPartObj>
          <w:docPartGallery w:val="Cover Pages"/>
          <w:docPartUnique/>
        </w:docPartObj>
      </w:sdtPr>
      <w:sdtEndPr>
        <w:rPr>
          <w:rFonts w:eastAsiaTheme="minorHAnsi"/>
        </w:rPr>
      </w:sdtEndPr>
      <w:sdtContent>
        <w:p w:rsidR="00F07361" w:rsidRPr="00201ED9" w:rsidRDefault="00F07361" w:rsidP="00485228">
          <w:pPr>
            <w:rPr>
              <w:lang w:eastAsia="en-GB"/>
            </w:rPr>
            <w:sectPr w:rsidR="00F07361" w:rsidRPr="00201ED9" w:rsidSect="001C7100">
              <w:headerReference w:type="default" r:id="rId8"/>
              <w:footerReference w:type="default" r:id="rId9"/>
              <w:pgSz w:w="11906" w:h="16838"/>
              <w:pgMar w:top="1245" w:right="1274" w:bottom="1440" w:left="1276" w:header="709" w:footer="709" w:gutter="0"/>
              <w:cols w:space="708"/>
              <w:docGrid w:linePitch="360"/>
            </w:sectPr>
          </w:pPr>
        </w:p>
        <w:p w:rsidR="00BB5571" w:rsidRPr="00E0745C" w:rsidRDefault="009B63A3" w:rsidP="00E0745C">
          <w:pPr>
            <w:rPr>
              <w:rFonts w:ascii="Trebuchet MS" w:eastAsiaTheme="minorEastAsia" w:hAnsi="Trebuchet MS"/>
              <w:b/>
              <w:sz w:val="48"/>
              <w:szCs w:val="48"/>
              <w:lang w:val="en-US" w:eastAsia="ja-JP"/>
            </w:rPr>
          </w:pPr>
          <w:r>
            <w:rPr>
              <w:rFonts w:ascii="Trebuchet MS" w:eastAsiaTheme="minorEastAsia" w:hAnsi="Trebuchet MS"/>
              <w:b/>
              <w:sz w:val="48"/>
              <w:szCs w:val="48"/>
              <w:lang w:val="en-US" w:eastAsia="ja-JP"/>
            </w:rPr>
            <w:lastRenderedPageBreak/>
            <w:t xml:space="preserve">          </w:t>
          </w:r>
          <w:r w:rsidR="004440B0" w:rsidRPr="004440B0">
            <w:rPr>
              <w:rFonts w:ascii="Trebuchet MS" w:eastAsiaTheme="minorEastAsia" w:hAnsi="Trebuchet MS"/>
              <w:b/>
              <w:sz w:val="48"/>
              <w:szCs w:val="48"/>
              <w:lang w:val="en-US" w:eastAsia="ja-JP"/>
            </w:rPr>
            <w:t>Holden Clough Primary School</w:t>
          </w:r>
        </w:p>
        <w:p w:rsidR="00BB5571" w:rsidRDefault="00BB5571" w:rsidP="00BB5571">
          <w:pPr>
            <w:jc w:val="center"/>
            <w:rPr>
              <w:rFonts w:eastAsiaTheme="minorEastAsia"/>
              <w:b/>
              <w:sz w:val="32"/>
              <w:lang w:val="en-US" w:eastAsia="ja-JP"/>
            </w:rPr>
          </w:pPr>
        </w:p>
        <w:p w:rsidR="00253BCA" w:rsidRPr="001A4BE7" w:rsidRDefault="00253BCA" w:rsidP="00BB5571">
          <w:pPr>
            <w:jc w:val="center"/>
            <w:rPr>
              <w:rFonts w:ascii="Arial" w:eastAsiaTheme="majorEastAsia" w:hAnsi="Arial" w:cs="Arial"/>
              <w:color w:val="000000" w:themeColor="text1"/>
              <w:sz w:val="28"/>
              <w:szCs w:val="28"/>
              <w:lang w:eastAsia="ja-JP"/>
            </w:rPr>
          </w:pPr>
        </w:p>
        <w:p w:rsidR="00E0745C" w:rsidRDefault="00C66B3F" w:rsidP="00F07361">
          <w:pPr>
            <w:pBdr>
              <w:bottom w:val="single" w:sz="4" w:space="1" w:color="auto"/>
            </w:pBdr>
            <w:jc w:val="center"/>
            <w:rPr>
              <w:rFonts w:ascii="Arial" w:eastAsiaTheme="majorEastAsia" w:hAnsi="Arial" w:cs="Arial"/>
              <w:color w:val="000000" w:themeColor="text1"/>
              <w:sz w:val="72"/>
              <w:szCs w:val="80"/>
              <w:lang w:eastAsia="ja-JP"/>
            </w:rPr>
          </w:pPr>
          <w:r>
            <w:rPr>
              <w:noProof/>
              <w:lang w:eastAsia="en-GB"/>
            </w:rPr>
            <w:drawing>
              <wp:anchor distT="0" distB="0" distL="114300" distR="114300" simplePos="0" relativeHeight="251662336" behindDoc="0" locked="0" layoutInCell="1" allowOverlap="1" wp14:anchorId="6B2BB1B6" wp14:editId="064D8AEE">
                <wp:simplePos x="0" y="0"/>
                <wp:positionH relativeFrom="column">
                  <wp:posOffset>5356314</wp:posOffset>
                </wp:positionH>
                <wp:positionV relativeFrom="paragraph">
                  <wp:posOffset>6498103</wp:posOffset>
                </wp:positionV>
                <wp:extent cx="754912" cy="655828"/>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12" cy="655828"/>
                        </a:xfrm>
                        <a:prstGeom prst="rect">
                          <a:avLst/>
                        </a:prstGeom>
                      </pic:spPr>
                    </pic:pic>
                  </a:graphicData>
                </a:graphic>
                <wp14:sizeRelH relativeFrom="page">
                  <wp14:pctWidth>0</wp14:pctWidth>
                </wp14:sizeRelH>
                <wp14:sizeRelV relativeFrom="page">
                  <wp14:pctHeight>0</wp14:pctHeight>
                </wp14:sizeRelV>
              </wp:anchor>
            </w:drawing>
          </w:r>
          <w:r w:rsidR="00417F34">
            <w:rPr>
              <w:rFonts w:ascii="Arial" w:eastAsiaTheme="majorEastAsia" w:hAnsi="Arial" w:cs="Arial"/>
              <w:color w:val="000000" w:themeColor="text1"/>
              <w:sz w:val="72"/>
              <w:szCs w:val="80"/>
              <w:lang w:eastAsia="ja-JP"/>
            </w:rPr>
            <w:t>Relationship Education</w:t>
          </w:r>
          <w:r w:rsidR="00E0745C">
            <w:rPr>
              <w:rFonts w:ascii="Arial" w:eastAsiaTheme="majorEastAsia" w:hAnsi="Arial" w:cs="Arial"/>
              <w:color w:val="000000" w:themeColor="text1"/>
              <w:sz w:val="72"/>
              <w:szCs w:val="80"/>
              <w:lang w:eastAsia="ja-JP"/>
            </w:rPr>
            <w:t xml:space="preserve"> Policy</w:t>
          </w:r>
        </w:p>
        <w:p w:rsidR="00E0745C" w:rsidRDefault="00417F34" w:rsidP="00F07361">
          <w:pPr>
            <w:pBdr>
              <w:bottom w:val="single" w:sz="4" w:space="1" w:color="auto"/>
            </w:pBdr>
            <w:jc w:val="center"/>
            <w:rPr>
              <w:rFonts w:ascii="Arial" w:eastAsiaTheme="majorEastAsia" w:hAnsi="Arial" w:cs="Arial"/>
              <w:color w:val="000000" w:themeColor="text1"/>
              <w:sz w:val="72"/>
              <w:szCs w:val="80"/>
              <w:lang w:eastAsia="ja-JP"/>
            </w:rPr>
          </w:pPr>
          <w:r>
            <w:rPr>
              <w:rFonts w:ascii="Arial" w:eastAsiaTheme="majorEastAsia" w:hAnsi="Arial" w:cs="Arial"/>
              <w:color w:val="000000" w:themeColor="text1"/>
              <w:sz w:val="72"/>
              <w:szCs w:val="80"/>
              <w:lang w:eastAsia="ja-JP"/>
            </w:rPr>
            <w:t xml:space="preserve"> </w:t>
          </w:r>
          <w:r w:rsidR="00E0745C" w:rsidRPr="00E0745C">
            <w:rPr>
              <w:rFonts w:ascii="Arial" w:eastAsiaTheme="majorEastAsia" w:hAnsi="Arial" w:cs="Arial"/>
              <w:noProof/>
              <w:color w:val="000000" w:themeColor="text1"/>
              <w:sz w:val="72"/>
              <w:szCs w:val="80"/>
              <w:lang w:eastAsia="ja-JP"/>
            </w:rPr>
            <w:drawing>
              <wp:inline distT="0" distB="0" distL="0" distR="0">
                <wp:extent cx="1537519" cy="2601686"/>
                <wp:effectExtent l="0" t="0" r="5715" b="8255"/>
                <wp:docPr id="2" name="Picture 2" descr="\\s-v-files-01\fr-staff\C.Hendry\Desktop\Logo\JPEG\Holden Clough Logo_Full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C.Hendry\Desktop\Logo\JPEG\Holden Clough Logo_Full Logo 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6527" cy="2633851"/>
                        </a:xfrm>
                        <a:prstGeom prst="rect">
                          <a:avLst/>
                        </a:prstGeom>
                        <a:noFill/>
                        <a:ln>
                          <a:noFill/>
                        </a:ln>
                      </pic:spPr>
                    </pic:pic>
                  </a:graphicData>
                </a:graphic>
              </wp:inline>
            </w:drawing>
          </w:r>
        </w:p>
        <w:p w:rsidR="00F07361" w:rsidRDefault="00F07361" w:rsidP="00E0745C">
          <w:pPr>
            <w:pBdr>
              <w:bottom w:val="single" w:sz="4" w:space="1" w:color="auto"/>
            </w:pBdr>
            <w:rPr>
              <w:rFonts w:ascii="Arial" w:eastAsiaTheme="majorEastAsia" w:hAnsi="Arial" w:cs="Arial"/>
              <w:color w:val="000000" w:themeColor="text1"/>
              <w:sz w:val="72"/>
              <w:szCs w:val="80"/>
              <w:lang w:eastAsia="ja-JP"/>
            </w:rPr>
          </w:pPr>
        </w:p>
        <w:p w:rsidR="005204D2" w:rsidRDefault="005204D2" w:rsidP="005204D2">
          <w:pPr>
            <w:pBdr>
              <w:bottom w:val="single" w:sz="4" w:space="1" w:color="auto"/>
            </w:pBdr>
            <w:rPr>
              <w:rFonts w:ascii="Arial" w:eastAsiaTheme="majorEastAsia" w:hAnsi="Arial" w:cs="Arial"/>
              <w:color w:val="000000" w:themeColor="text1"/>
              <w:sz w:val="72"/>
              <w:szCs w:val="80"/>
              <w:lang w:eastAsia="ja-JP"/>
            </w:rPr>
            <w:sectPr w:rsidR="005204D2" w:rsidSect="001C7100">
              <w:footerReference w:type="default" r:id="rId12"/>
              <w:pgSz w:w="11906" w:h="16838"/>
              <w:pgMar w:top="1245" w:right="1274" w:bottom="1440" w:left="1276" w:header="709" w:footer="709" w:gutter="0"/>
              <w:cols w:space="708"/>
              <w:docGrid w:linePitch="360"/>
            </w:sectPr>
          </w:pPr>
          <w:bookmarkStart w:id="0" w:name="_GoBack"/>
          <w:bookmarkEnd w:id="0"/>
        </w:p>
        <w:p w:rsidR="00417F34" w:rsidRPr="00417F34" w:rsidRDefault="00417F34" w:rsidP="00A33ADD">
          <w:pPr>
            <w:rPr>
              <w:b/>
              <w:sz w:val="2"/>
              <w:lang w:val="en-US" w:eastAsia="ja-JP"/>
            </w:rPr>
          </w:pPr>
        </w:p>
        <w:p w:rsidR="00A33ADD" w:rsidRDefault="001509F4" w:rsidP="00A33ADD">
          <w:pPr>
            <w:rPr>
              <w:b/>
              <w:sz w:val="32"/>
              <w:lang w:val="en-US" w:eastAsia="ja-JP"/>
            </w:rPr>
          </w:pPr>
          <w:r w:rsidRPr="001509F4">
            <w:rPr>
              <w:b/>
              <w:sz w:val="32"/>
              <w:lang w:val="en-US" w:eastAsia="ja-JP"/>
            </w:rPr>
            <w:t>Contents:</w:t>
          </w:r>
        </w:p>
      </w:sdtContent>
    </w:sdt>
    <w:p w:rsidR="00AD4155" w:rsidRPr="00A33ADD" w:rsidRDefault="00E0745C" w:rsidP="00A33ADD">
      <w:pPr>
        <w:rPr>
          <w:b/>
          <w:sz w:val="32"/>
          <w:lang w:val="en-US" w:eastAsia="ja-JP"/>
        </w:rPr>
      </w:pPr>
      <w:hyperlink w:anchor="AA" w:history="1">
        <w:r w:rsidR="00A33ADD" w:rsidRPr="000315D9">
          <w:rPr>
            <w:rStyle w:val="Hyperlink"/>
            <w:rFonts w:ascii="Arial" w:hAnsi="Arial" w:cs="Arial"/>
          </w:rPr>
          <w:t>Statement of intent</w:t>
        </w:r>
      </w:hyperlink>
    </w:p>
    <w:p w:rsidR="003F2E2E" w:rsidRPr="001E1993" w:rsidRDefault="00E0745C" w:rsidP="00AE273A">
      <w:pPr>
        <w:pStyle w:val="ListParagraph"/>
        <w:numPr>
          <w:ilvl w:val="0"/>
          <w:numId w:val="1"/>
        </w:numPr>
        <w:spacing w:before="120" w:after="120" w:line="320" w:lineRule="exact"/>
        <w:rPr>
          <w:rStyle w:val="Hyperlink"/>
          <w:rFonts w:ascii="Arial" w:hAnsi="Arial" w:cs="Arial"/>
          <w:color w:val="auto"/>
          <w:u w:val="none"/>
        </w:rPr>
      </w:pPr>
      <w:hyperlink w:anchor="A" w:history="1">
        <w:r w:rsidR="00611CBC" w:rsidRPr="00AB2B41">
          <w:rPr>
            <w:rStyle w:val="Hyperlink"/>
            <w:rFonts w:ascii="Arial" w:hAnsi="Arial" w:cs="Arial"/>
          </w:rPr>
          <w:t>Legislation</w:t>
        </w:r>
      </w:hyperlink>
    </w:p>
    <w:p w:rsidR="001E1993" w:rsidRDefault="001E1993" w:rsidP="00AE273A">
      <w:pPr>
        <w:pStyle w:val="ListParagraph"/>
        <w:numPr>
          <w:ilvl w:val="0"/>
          <w:numId w:val="1"/>
        </w:numPr>
        <w:spacing w:before="120" w:after="120" w:line="320" w:lineRule="exact"/>
        <w:rPr>
          <w:rFonts w:ascii="Arial" w:hAnsi="Arial" w:cs="Arial"/>
        </w:rPr>
      </w:pPr>
      <w:r>
        <w:rPr>
          <w:rStyle w:val="Hyperlink"/>
          <w:rFonts w:ascii="Arial" w:hAnsi="Arial" w:cs="Arial"/>
        </w:rPr>
        <w:t>Meeting Requirement</w:t>
      </w:r>
    </w:p>
    <w:p w:rsidR="00F72C16" w:rsidRPr="00F72C16" w:rsidRDefault="00E0745C" w:rsidP="00AE273A">
      <w:pPr>
        <w:pStyle w:val="ListParagraph"/>
        <w:numPr>
          <w:ilvl w:val="0"/>
          <w:numId w:val="1"/>
        </w:numPr>
        <w:spacing w:before="120" w:after="120" w:line="320" w:lineRule="exact"/>
        <w:rPr>
          <w:rFonts w:ascii="Arial" w:hAnsi="Arial" w:cs="Arial"/>
        </w:rPr>
      </w:pPr>
      <w:hyperlink w:anchor="B" w:history="1">
        <w:r w:rsidR="00F72C16" w:rsidRPr="00AB2B41">
          <w:rPr>
            <w:rStyle w:val="Hyperlink"/>
            <w:rFonts w:ascii="Arial" w:hAnsi="Arial" w:cs="Arial"/>
          </w:rPr>
          <w:t xml:space="preserve">Organisation of </w:t>
        </w:r>
        <w:r w:rsidR="00EE4B44">
          <w:rPr>
            <w:rStyle w:val="Hyperlink"/>
            <w:rFonts w:ascii="Arial" w:hAnsi="Arial" w:cs="Arial"/>
          </w:rPr>
          <w:t xml:space="preserve">the </w:t>
        </w:r>
        <w:r w:rsidR="00F72C16" w:rsidRPr="00AB2B41">
          <w:rPr>
            <w:rStyle w:val="Hyperlink"/>
            <w:rFonts w:ascii="Arial" w:hAnsi="Arial" w:cs="Arial"/>
          </w:rPr>
          <w:t>programme</w:t>
        </w:r>
      </w:hyperlink>
    </w:p>
    <w:p w:rsidR="00F07361" w:rsidRDefault="00E0745C" w:rsidP="00AE273A">
      <w:pPr>
        <w:pStyle w:val="ListParagraph"/>
        <w:numPr>
          <w:ilvl w:val="0"/>
          <w:numId w:val="1"/>
        </w:numPr>
        <w:spacing w:before="120" w:after="120" w:line="320" w:lineRule="exact"/>
        <w:rPr>
          <w:rFonts w:ascii="Arial" w:hAnsi="Arial" w:cs="Arial"/>
        </w:rPr>
      </w:pPr>
      <w:hyperlink w:anchor="C" w:history="1">
        <w:r w:rsidR="00F72C16" w:rsidRPr="00AB2B41">
          <w:rPr>
            <w:rStyle w:val="Hyperlink"/>
            <w:rFonts w:ascii="Arial" w:hAnsi="Arial" w:cs="Arial"/>
          </w:rPr>
          <w:t>Key stage 1</w:t>
        </w:r>
      </w:hyperlink>
    </w:p>
    <w:p w:rsidR="00611CBC" w:rsidRDefault="00E0745C" w:rsidP="00AE273A">
      <w:pPr>
        <w:pStyle w:val="ListParagraph"/>
        <w:numPr>
          <w:ilvl w:val="0"/>
          <w:numId w:val="1"/>
        </w:numPr>
        <w:spacing w:before="120" w:after="120" w:line="320" w:lineRule="exact"/>
        <w:rPr>
          <w:rFonts w:ascii="Arial" w:hAnsi="Arial" w:cs="Arial"/>
        </w:rPr>
      </w:pPr>
      <w:hyperlink w:anchor="D" w:history="1">
        <w:r w:rsidR="00611CBC" w:rsidRPr="00AB2B41">
          <w:rPr>
            <w:rStyle w:val="Hyperlink"/>
            <w:rFonts w:ascii="Arial" w:hAnsi="Arial" w:cs="Arial"/>
          </w:rPr>
          <w:t>Key stage 2</w:t>
        </w:r>
      </w:hyperlink>
    </w:p>
    <w:p w:rsidR="00F72C16" w:rsidRDefault="00E0745C" w:rsidP="00AE273A">
      <w:pPr>
        <w:pStyle w:val="ListParagraph"/>
        <w:numPr>
          <w:ilvl w:val="0"/>
          <w:numId w:val="1"/>
        </w:numPr>
        <w:spacing w:before="120" w:after="120" w:line="320" w:lineRule="exact"/>
        <w:rPr>
          <w:rFonts w:ascii="Arial" w:hAnsi="Arial" w:cs="Arial"/>
        </w:rPr>
      </w:pPr>
      <w:hyperlink w:anchor="G" w:history="1">
        <w:r w:rsidR="00F72C16" w:rsidRPr="00AB2B41">
          <w:rPr>
            <w:rStyle w:val="Hyperlink"/>
            <w:rFonts w:ascii="Arial" w:hAnsi="Arial" w:cs="Arial"/>
          </w:rPr>
          <w:t>Training of staff</w:t>
        </w:r>
      </w:hyperlink>
    </w:p>
    <w:p w:rsidR="00611CBC" w:rsidRDefault="00E0745C" w:rsidP="00AE273A">
      <w:pPr>
        <w:pStyle w:val="ListParagraph"/>
        <w:numPr>
          <w:ilvl w:val="0"/>
          <w:numId w:val="1"/>
        </w:numPr>
        <w:spacing w:before="120" w:after="120" w:line="320" w:lineRule="exact"/>
        <w:rPr>
          <w:rFonts w:ascii="Arial" w:hAnsi="Arial" w:cs="Arial"/>
        </w:rPr>
      </w:pPr>
      <w:hyperlink w:anchor="H" w:history="1">
        <w:r w:rsidR="00611CBC" w:rsidRPr="00AB2B41">
          <w:rPr>
            <w:rStyle w:val="Hyperlink"/>
            <w:rFonts w:ascii="Arial" w:hAnsi="Arial" w:cs="Arial"/>
          </w:rPr>
          <w:t>Delivery of the programme</w:t>
        </w:r>
      </w:hyperlink>
    </w:p>
    <w:p w:rsidR="00611CBC" w:rsidRDefault="00E0745C" w:rsidP="00AE273A">
      <w:pPr>
        <w:pStyle w:val="ListParagraph"/>
        <w:numPr>
          <w:ilvl w:val="0"/>
          <w:numId w:val="1"/>
        </w:numPr>
        <w:spacing w:before="120" w:after="120" w:line="320" w:lineRule="exact"/>
        <w:rPr>
          <w:rFonts w:ascii="Arial" w:hAnsi="Arial" w:cs="Arial"/>
        </w:rPr>
      </w:pPr>
      <w:hyperlink w:anchor="I" w:history="1">
        <w:r w:rsidR="00611CBC" w:rsidRPr="00AB2B41">
          <w:rPr>
            <w:rStyle w:val="Hyperlink"/>
            <w:rFonts w:ascii="Arial" w:hAnsi="Arial" w:cs="Arial"/>
          </w:rPr>
          <w:t>Working with parents</w:t>
        </w:r>
      </w:hyperlink>
    </w:p>
    <w:p w:rsidR="00F72C16" w:rsidRDefault="00E0745C" w:rsidP="00AE273A">
      <w:pPr>
        <w:pStyle w:val="ListParagraph"/>
        <w:numPr>
          <w:ilvl w:val="0"/>
          <w:numId w:val="1"/>
        </w:numPr>
        <w:spacing w:before="120" w:after="120" w:line="320" w:lineRule="exact"/>
        <w:rPr>
          <w:rFonts w:ascii="Arial" w:hAnsi="Arial" w:cs="Arial"/>
        </w:rPr>
      </w:pPr>
      <w:hyperlink w:anchor="J" w:history="1">
        <w:r w:rsidR="00F72C16" w:rsidRPr="00AB2B41">
          <w:rPr>
            <w:rStyle w:val="Hyperlink"/>
            <w:rFonts w:ascii="Arial" w:hAnsi="Arial" w:cs="Arial"/>
          </w:rPr>
          <w:t>Equal opportunities</w:t>
        </w:r>
      </w:hyperlink>
    </w:p>
    <w:p w:rsidR="00F72C16" w:rsidRDefault="00E0745C" w:rsidP="00AE273A">
      <w:pPr>
        <w:pStyle w:val="ListParagraph"/>
        <w:numPr>
          <w:ilvl w:val="0"/>
          <w:numId w:val="1"/>
        </w:numPr>
        <w:spacing w:before="120" w:after="120" w:line="320" w:lineRule="exact"/>
        <w:rPr>
          <w:rFonts w:ascii="Arial" w:hAnsi="Arial" w:cs="Arial"/>
        </w:rPr>
      </w:pPr>
      <w:hyperlink w:anchor="K" w:history="1">
        <w:r w:rsidR="00F72C16" w:rsidRPr="00AB2B41">
          <w:rPr>
            <w:rStyle w:val="Hyperlink"/>
            <w:rFonts w:ascii="Arial" w:hAnsi="Arial" w:cs="Arial"/>
          </w:rPr>
          <w:t>Confidentiality</w:t>
        </w:r>
      </w:hyperlink>
      <w:r w:rsidR="00F72C16">
        <w:rPr>
          <w:rFonts w:ascii="Arial" w:hAnsi="Arial" w:cs="Arial"/>
        </w:rPr>
        <w:t xml:space="preserve"> </w:t>
      </w:r>
    </w:p>
    <w:p w:rsidR="00F72C16" w:rsidRDefault="00E0745C" w:rsidP="00AE273A">
      <w:pPr>
        <w:pStyle w:val="ListParagraph"/>
        <w:numPr>
          <w:ilvl w:val="0"/>
          <w:numId w:val="1"/>
        </w:numPr>
        <w:spacing w:before="120" w:after="120" w:line="320" w:lineRule="exact"/>
        <w:rPr>
          <w:rFonts w:ascii="Arial" w:hAnsi="Arial" w:cs="Arial"/>
        </w:rPr>
      </w:pPr>
      <w:hyperlink w:anchor="L" w:history="1">
        <w:r w:rsidR="00611CBC" w:rsidRPr="00AB2B41">
          <w:rPr>
            <w:rStyle w:val="Hyperlink"/>
            <w:rFonts w:ascii="Arial" w:hAnsi="Arial" w:cs="Arial"/>
          </w:rPr>
          <w:t>Bullying incidents</w:t>
        </w:r>
      </w:hyperlink>
    </w:p>
    <w:p w:rsidR="00611CBC" w:rsidRDefault="00E0745C" w:rsidP="00AE273A">
      <w:pPr>
        <w:pStyle w:val="ListParagraph"/>
        <w:numPr>
          <w:ilvl w:val="0"/>
          <w:numId w:val="1"/>
        </w:numPr>
        <w:spacing w:before="120" w:after="120" w:line="320" w:lineRule="exact"/>
        <w:rPr>
          <w:rFonts w:ascii="Arial" w:hAnsi="Arial" w:cs="Arial"/>
        </w:rPr>
      </w:pPr>
      <w:hyperlink w:anchor="M" w:history="1">
        <w:r w:rsidR="00611CBC" w:rsidRPr="00AB2B41">
          <w:rPr>
            <w:rStyle w:val="Hyperlink"/>
            <w:rFonts w:ascii="Arial" w:hAnsi="Arial" w:cs="Arial"/>
          </w:rPr>
          <w:t>Monitoring and review</w:t>
        </w:r>
      </w:hyperlink>
    </w:p>
    <w:p w:rsidR="00EC1520" w:rsidRPr="008D67F0" w:rsidRDefault="00A15691" w:rsidP="008D67F0">
      <w:pPr>
        <w:spacing w:before="120" w:after="120" w:line="320" w:lineRule="exact"/>
        <w:ind w:left="720"/>
        <w:rPr>
          <w:rFonts w:ascii="Arial" w:hAnsi="Arial" w:cs="Arial"/>
        </w:rPr>
      </w:pPr>
      <w:r w:rsidRPr="008D67F0">
        <w:rPr>
          <w:rFonts w:ascii="Arial" w:hAnsi="Arial" w:cs="Arial"/>
        </w:rPr>
        <w:t>Appendices</w:t>
      </w:r>
    </w:p>
    <w:p w:rsidR="00B41A97" w:rsidRDefault="00E0745C" w:rsidP="00B41A97">
      <w:pPr>
        <w:pStyle w:val="ListParagraph"/>
        <w:numPr>
          <w:ilvl w:val="1"/>
          <w:numId w:val="1"/>
        </w:numPr>
        <w:spacing w:before="120" w:after="120" w:line="320" w:lineRule="exact"/>
        <w:rPr>
          <w:rStyle w:val="Hyperlink"/>
          <w:rFonts w:ascii="Arial" w:hAnsi="Arial" w:cs="Arial"/>
          <w:color w:val="auto"/>
          <w:u w:val="none"/>
        </w:rPr>
      </w:pPr>
      <w:hyperlink w:anchor="N" w:history="1">
        <w:r w:rsidR="00611CBC" w:rsidRPr="00AB2B41">
          <w:rPr>
            <w:rStyle w:val="Hyperlink"/>
            <w:rFonts w:ascii="Arial" w:hAnsi="Arial" w:cs="Arial"/>
          </w:rPr>
          <w:t>Appendix 1 – Letter to parents/guardians</w:t>
        </w:r>
      </w:hyperlink>
    </w:p>
    <w:p w:rsidR="00611CBC" w:rsidRPr="00F07361" w:rsidRDefault="00E0745C" w:rsidP="00B41A97">
      <w:pPr>
        <w:pStyle w:val="ListParagraph"/>
        <w:numPr>
          <w:ilvl w:val="1"/>
          <w:numId w:val="1"/>
        </w:numPr>
        <w:spacing w:before="120" w:after="120" w:line="320" w:lineRule="exact"/>
        <w:rPr>
          <w:rStyle w:val="Hyperlink"/>
          <w:rFonts w:ascii="Arial" w:hAnsi="Arial" w:cs="Arial"/>
          <w:color w:val="auto"/>
          <w:u w:val="none"/>
        </w:rPr>
      </w:pPr>
      <w:hyperlink w:anchor="O" w:history="1">
        <w:r w:rsidR="00611CBC" w:rsidRPr="00AB2B41">
          <w:rPr>
            <w:rStyle w:val="Hyperlink"/>
            <w:rFonts w:ascii="Arial" w:hAnsi="Arial" w:cs="Arial"/>
          </w:rPr>
          <w:t>Appendix 2 – Science national curriculum</w:t>
        </w:r>
      </w:hyperlink>
    </w:p>
    <w:p w:rsidR="00AD4155" w:rsidRPr="00A33ADD" w:rsidRDefault="00AD4155" w:rsidP="00A33ADD">
      <w:pPr>
        <w:spacing w:before="120" w:after="120" w:line="320" w:lineRule="exact"/>
        <w:ind w:left="1440"/>
        <w:rPr>
          <w:rFonts w:ascii="Arial" w:hAnsi="Arial" w:cs="Arial"/>
        </w:rPr>
      </w:pPr>
    </w:p>
    <w:p w:rsidR="00AD4155" w:rsidRDefault="00AD4155" w:rsidP="00C8446D">
      <w:pPr>
        <w:rPr>
          <w:rFonts w:ascii="Arial" w:hAnsi="Arial" w:cs="Arial"/>
          <w:sz w:val="32"/>
          <w:szCs w:val="32"/>
        </w:rPr>
      </w:pPr>
    </w:p>
    <w:p w:rsidR="008C2CD3" w:rsidRDefault="008C2CD3">
      <w:pPr>
        <w:rPr>
          <w:rFonts w:ascii="Arial" w:hAnsi="Arial" w:cs="Arial"/>
          <w:sz w:val="32"/>
          <w:szCs w:val="32"/>
        </w:rPr>
      </w:pPr>
      <w:r>
        <w:rPr>
          <w:rFonts w:ascii="Arial" w:hAnsi="Arial" w:cs="Arial"/>
          <w:sz w:val="32"/>
          <w:szCs w:val="32"/>
        </w:rPr>
        <w:br w:type="page"/>
      </w:r>
    </w:p>
    <w:p w:rsidR="00207C5A" w:rsidRPr="002D4754" w:rsidRDefault="0028407E" w:rsidP="00914FE4">
      <w:pPr>
        <w:pStyle w:val="Heading10"/>
        <w:numPr>
          <w:ilvl w:val="0"/>
          <w:numId w:val="0"/>
        </w:numPr>
        <w:ind w:left="360" w:hanging="360"/>
        <w:jc w:val="both"/>
        <w:rPr>
          <w:b/>
        </w:rPr>
      </w:pPr>
      <w:bookmarkStart w:id="1" w:name="_Statement_of_Intent"/>
      <w:bookmarkStart w:id="2" w:name="AA"/>
      <w:bookmarkEnd w:id="1"/>
      <w:r>
        <w:rPr>
          <w:b/>
        </w:rPr>
        <w:lastRenderedPageBreak/>
        <w:t>Statement of intent</w:t>
      </w:r>
    </w:p>
    <w:bookmarkEnd w:id="2"/>
    <w:p w:rsidR="007D34D4" w:rsidRDefault="007D34D4" w:rsidP="003B55E8">
      <w:pPr>
        <w:jc w:val="both"/>
      </w:pPr>
      <w:r>
        <w:t xml:space="preserve">At </w:t>
      </w:r>
      <w:r w:rsidR="004440B0">
        <w:t xml:space="preserve">Holden Clough Primary </w:t>
      </w:r>
      <w:r>
        <w:t xml:space="preserve">we understand the importance of educating pupils about </w:t>
      </w:r>
      <w:r w:rsidR="00D157FF">
        <w:t>families</w:t>
      </w:r>
      <w:r>
        <w:t xml:space="preserve"> and relationships, in order for pupils to make responsible and well-informed decisions in their lives.</w:t>
      </w:r>
    </w:p>
    <w:p w:rsidR="00D157FF" w:rsidRDefault="00D157FF" w:rsidP="003B55E8">
      <w:pPr>
        <w:jc w:val="both"/>
      </w:pPr>
      <w:r>
        <w:t xml:space="preserve">Relationship Education (RE) needs to start early in primary school so that children learn about their bodies, can recognise if other people make them feel uncomfortable or unsafe and can report abuse and get help. Lots of children start puberty before they leave primary school so it is important that all pupils know what to expect before it happens. </w:t>
      </w:r>
    </w:p>
    <w:p w:rsidR="007D34D4" w:rsidRDefault="007D34D4" w:rsidP="003B55E8">
      <w:pPr>
        <w:jc w:val="both"/>
      </w:pPr>
      <w:r>
        <w:t>The DfE’s guidance, ‘Sex and Relationship Education Guidance’, defines this programme as: “Learning about physical, moral and emotional development; understanding the importance of marriage for family life, stable and loving relationships, respect, love and care. It is also about the teaching of sex, sexuality and health.”</w:t>
      </w:r>
    </w:p>
    <w:p w:rsidR="00D157FF" w:rsidRDefault="00D157FF" w:rsidP="00D157FF">
      <w:pPr>
        <w:jc w:val="both"/>
      </w:pPr>
      <w:r w:rsidRPr="00D157FF">
        <w:t xml:space="preserve">The programme will be taught objectively and does not intend to promote any form of sexual orientation. However </w:t>
      </w:r>
      <w:r>
        <w:t>Relationship Education</w:t>
      </w:r>
      <w:r w:rsidRPr="00D157FF">
        <w:t xml:space="preserve"> absolutely must be inclusive and relevant. </w:t>
      </w:r>
    </w:p>
    <w:p w:rsidR="00D157FF" w:rsidRPr="00D157FF" w:rsidRDefault="00D157FF" w:rsidP="00D157FF">
      <w:pPr>
        <w:jc w:val="both"/>
      </w:pPr>
      <w:r w:rsidRPr="00D157FF">
        <w:t xml:space="preserve">The following points are just some of the features of contemporary society which need to be acknowledged: </w:t>
      </w:r>
    </w:p>
    <w:p w:rsidR="00D157FF" w:rsidRPr="00D157FF" w:rsidRDefault="00D157FF" w:rsidP="00826F4C">
      <w:pPr>
        <w:numPr>
          <w:ilvl w:val="0"/>
          <w:numId w:val="15"/>
        </w:numPr>
        <w:jc w:val="both"/>
      </w:pPr>
      <w:r w:rsidRPr="00D157FF">
        <w:t xml:space="preserve">Some parents/carers are in same-sex relationships; </w:t>
      </w:r>
    </w:p>
    <w:p w:rsidR="00D157FF" w:rsidRPr="00D157FF" w:rsidRDefault="00D157FF" w:rsidP="00826F4C">
      <w:pPr>
        <w:numPr>
          <w:ilvl w:val="0"/>
          <w:numId w:val="15"/>
        </w:numPr>
        <w:jc w:val="both"/>
      </w:pPr>
      <w:r w:rsidRPr="00D157FF">
        <w:t xml:space="preserve">Some children are adopted; </w:t>
      </w:r>
    </w:p>
    <w:p w:rsidR="00D157FF" w:rsidRPr="00D157FF" w:rsidRDefault="00D157FF" w:rsidP="00826F4C">
      <w:pPr>
        <w:numPr>
          <w:ilvl w:val="0"/>
          <w:numId w:val="15"/>
        </w:numPr>
        <w:jc w:val="both"/>
      </w:pPr>
      <w:r w:rsidRPr="00D157FF">
        <w:t xml:space="preserve">Some children have special educational needs or disabilities and may have different concerns and questions from their peers; </w:t>
      </w:r>
    </w:p>
    <w:p w:rsidR="00D157FF" w:rsidRPr="00D157FF" w:rsidRDefault="00D157FF" w:rsidP="00826F4C">
      <w:pPr>
        <w:numPr>
          <w:ilvl w:val="0"/>
          <w:numId w:val="15"/>
        </w:numPr>
        <w:jc w:val="both"/>
      </w:pPr>
      <w:r w:rsidRPr="00D157FF">
        <w:t xml:space="preserve">There are many different family structures; </w:t>
      </w:r>
    </w:p>
    <w:p w:rsidR="00D157FF" w:rsidRPr="00D157FF" w:rsidRDefault="00D157FF" w:rsidP="00826F4C">
      <w:pPr>
        <w:numPr>
          <w:ilvl w:val="0"/>
          <w:numId w:val="15"/>
        </w:numPr>
        <w:jc w:val="both"/>
      </w:pPr>
      <w:r w:rsidRPr="00D157FF">
        <w:t xml:space="preserve">Some children may live with domestic violence; </w:t>
      </w:r>
    </w:p>
    <w:p w:rsidR="00D157FF" w:rsidRPr="00D157FF" w:rsidRDefault="00D157FF" w:rsidP="00826F4C">
      <w:pPr>
        <w:numPr>
          <w:ilvl w:val="0"/>
          <w:numId w:val="15"/>
        </w:numPr>
        <w:jc w:val="both"/>
      </w:pPr>
      <w:r w:rsidRPr="00D157FF">
        <w:t xml:space="preserve">Some children may already ‘feel different’ about their sexuality; </w:t>
      </w:r>
    </w:p>
    <w:p w:rsidR="00D157FF" w:rsidRPr="00D157FF" w:rsidRDefault="00D157FF" w:rsidP="00826F4C">
      <w:pPr>
        <w:numPr>
          <w:ilvl w:val="0"/>
          <w:numId w:val="15"/>
        </w:numPr>
        <w:jc w:val="both"/>
      </w:pPr>
      <w:r w:rsidRPr="00D157FF">
        <w:t xml:space="preserve">Children of primary school age are known to have participated in ‘sexting’; </w:t>
      </w:r>
    </w:p>
    <w:p w:rsidR="00D157FF" w:rsidRPr="00D157FF" w:rsidRDefault="00D157FF" w:rsidP="00826F4C">
      <w:pPr>
        <w:numPr>
          <w:ilvl w:val="0"/>
          <w:numId w:val="15"/>
        </w:numPr>
        <w:jc w:val="both"/>
      </w:pPr>
      <w:r w:rsidRPr="00D157FF">
        <w:t xml:space="preserve">The age at which some children reach puberty is as young as 9 (year 4 or 5); </w:t>
      </w:r>
    </w:p>
    <w:p w:rsidR="00D157FF" w:rsidRPr="00D157FF" w:rsidRDefault="00D157FF" w:rsidP="00826F4C">
      <w:pPr>
        <w:numPr>
          <w:ilvl w:val="0"/>
          <w:numId w:val="15"/>
        </w:numPr>
        <w:jc w:val="both"/>
      </w:pPr>
      <w:r w:rsidRPr="00D157FF">
        <w:t xml:space="preserve">Religious and cultural differences need to be accommodated; </w:t>
      </w:r>
    </w:p>
    <w:p w:rsidR="00D157FF" w:rsidRPr="00D157FF" w:rsidRDefault="00D157FF" w:rsidP="00826F4C">
      <w:pPr>
        <w:numPr>
          <w:ilvl w:val="0"/>
          <w:numId w:val="15"/>
        </w:numPr>
        <w:jc w:val="both"/>
      </w:pPr>
      <w:r w:rsidRPr="00D157FF">
        <w:t xml:space="preserve">Access to pornography and harmful material is easier than ever; </w:t>
      </w:r>
    </w:p>
    <w:p w:rsidR="00D157FF" w:rsidRPr="00D157FF" w:rsidRDefault="00D157FF" w:rsidP="00826F4C">
      <w:pPr>
        <w:numPr>
          <w:ilvl w:val="0"/>
          <w:numId w:val="15"/>
        </w:numPr>
        <w:jc w:val="both"/>
      </w:pPr>
      <w:r w:rsidRPr="00D157FF">
        <w:t xml:space="preserve">The illusion of the perfect body still persists in the media and pressurises young boys as well as young girls. </w:t>
      </w:r>
    </w:p>
    <w:p w:rsidR="00D157FF" w:rsidRDefault="00D157FF" w:rsidP="003B55E8">
      <w:pPr>
        <w:jc w:val="both"/>
        <w:rPr>
          <w:b/>
        </w:rPr>
      </w:pPr>
    </w:p>
    <w:p w:rsidR="00D157FF" w:rsidRDefault="00D157FF" w:rsidP="003B55E8">
      <w:pPr>
        <w:jc w:val="both"/>
        <w:rPr>
          <w:b/>
        </w:rPr>
      </w:pPr>
    </w:p>
    <w:p w:rsidR="00D157FF" w:rsidRDefault="00D157FF" w:rsidP="003B55E8">
      <w:pPr>
        <w:jc w:val="both"/>
        <w:rPr>
          <w:b/>
        </w:rPr>
      </w:pPr>
    </w:p>
    <w:p w:rsidR="00D157FF" w:rsidRDefault="00D157FF" w:rsidP="003B55E8">
      <w:pPr>
        <w:jc w:val="both"/>
        <w:rPr>
          <w:b/>
        </w:rPr>
      </w:pPr>
    </w:p>
    <w:p w:rsidR="007D34D4" w:rsidRPr="00C27E0E" w:rsidRDefault="007D34D4" w:rsidP="003B55E8">
      <w:pPr>
        <w:jc w:val="both"/>
        <w:rPr>
          <w:b/>
        </w:rPr>
      </w:pPr>
      <w:r w:rsidRPr="00C27E0E">
        <w:rPr>
          <w:b/>
        </w:rPr>
        <w:lastRenderedPageBreak/>
        <w:t>Aims and objectives</w:t>
      </w:r>
    </w:p>
    <w:p w:rsidR="007D34D4" w:rsidRPr="00C27E0E" w:rsidRDefault="007D34D4" w:rsidP="003B55E8">
      <w:pPr>
        <w:jc w:val="both"/>
      </w:pPr>
      <w:r w:rsidRPr="00C27E0E">
        <w:t xml:space="preserve">The </w:t>
      </w:r>
      <w:r w:rsidR="00D157FF">
        <w:t>relationship</w:t>
      </w:r>
      <w:r w:rsidRPr="00C27E0E">
        <w:t xml:space="preserve"> programme is an opportunity for </w:t>
      </w:r>
      <w:r>
        <w:t>pupils</w:t>
      </w:r>
      <w:r w:rsidRPr="00C27E0E">
        <w:t xml:space="preserve"> to:</w:t>
      </w:r>
    </w:p>
    <w:p w:rsidR="007D34D4" w:rsidRPr="00C27E0E" w:rsidRDefault="007D34D4" w:rsidP="00826F4C">
      <w:pPr>
        <w:pStyle w:val="ListParagraph"/>
        <w:numPr>
          <w:ilvl w:val="0"/>
          <w:numId w:val="8"/>
        </w:numPr>
        <w:jc w:val="both"/>
      </w:pPr>
      <w:r w:rsidRPr="00C27E0E">
        <w:t>Develop an understanding of sex, sexuality and relationships.</w:t>
      </w:r>
    </w:p>
    <w:p w:rsidR="007D34D4" w:rsidRPr="00C27E0E" w:rsidRDefault="007D34D4" w:rsidP="00826F4C">
      <w:pPr>
        <w:pStyle w:val="ListParagraph"/>
        <w:numPr>
          <w:ilvl w:val="0"/>
          <w:numId w:val="8"/>
        </w:numPr>
        <w:jc w:val="both"/>
      </w:pPr>
      <w:r w:rsidRPr="00C27E0E">
        <w:t>Develop a range of appropriate personal skills.</w:t>
      </w:r>
    </w:p>
    <w:p w:rsidR="007D34D4" w:rsidRPr="00C27E0E" w:rsidRDefault="007D34D4" w:rsidP="003B55E8">
      <w:pPr>
        <w:jc w:val="both"/>
      </w:pPr>
      <w:r w:rsidRPr="00C27E0E">
        <w:t>Th</w:t>
      </w:r>
      <w:r w:rsidR="003B55E8">
        <w:t>e aims will be achieved through</w:t>
      </w:r>
      <w:r w:rsidRPr="00C27E0E">
        <w:t xml:space="preserve"> </w:t>
      </w:r>
      <w:r w:rsidR="000315D9">
        <w:t>developing an understanding of</w:t>
      </w:r>
      <w:r w:rsidRPr="00C27E0E">
        <w:t>:</w:t>
      </w:r>
    </w:p>
    <w:p w:rsidR="007D34D4" w:rsidRPr="00C27E0E" w:rsidRDefault="000315D9" w:rsidP="00826F4C">
      <w:pPr>
        <w:pStyle w:val="ListParagraph"/>
        <w:numPr>
          <w:ilvl w:val="0"/>
          <w:numId w:val="9"/>
        </w:numPr>
        <w:jc w:val="both"/>
      </w:pPr>
      <w:r>
        <w:t>A</w:t>
      </w:r>
      <w:r w:rsidR="007D34D4" w:rsidRPr="00C27E0E">
        <w:t xml:space="preserve"> range of values and moral issues including the importance of family life.</w:t>
      </w:r>
    </w:p>
    <w:p w:rsidR="007D34D4" w:rsidRPr="00C27E0E" w:rsidRDefault="000315D9" w:rsidP="00826F4C">
      <w:pPr>
        <w:pStyle w:val="ListParagraph"/>
        <w:numPr>
          <w:ilvl w:val="0"/>
          <w:numId w:val="9"/>
        </w:numPr>
        <w:jc w:val="both"/>
      </w:pPr>
      <w:r>
        <w:t>T</w:t>
      </w:r>
      <w:r w:rsidR="007D34D4" w:rsidRPr="00C27E0E">
        <w:t xml:space="preserve">he biological facts related to human growth and development, including reproduction. </w:t>
      </w:r>
    </w:p>
    <w:p w:rsidR="007D34D4" w:rsidRPr="00C27E0E" w:rsidRDefault="000315D9" w:rsidP="00826F4C">
      <w:pPr>
        <w:pStyle w:val="ListParagraph"/>
        <w:numPr>
          <w:ilvl w:val="0"/>
          <w:numId w:val="9"/>
        </w:numPr>
        <w:jc w:val="both"/>
      </w:pPr>
      <w:r>
        <w:t>The</w:t>
      </w:r>
      <w:r w:rsidR="007D34D4" w:rsidRPr="00C27E0E">
        <w:t xml:space="preserve"> importance of healthy relationships.</w:t>
      </w:r>
    </w:p>
    <w:p w:rsidR="00C0514B" w:rsidRDefault="00C0514B" w:rsidP="003B55E8">
      <w:pPr>
        <w:jc w:val="both"/>
      </w:pPr>
    </w:p>
    <w:p w:rsidR="00943A5C" w:rsidRDefault="00943A5C" w:rsidP="003B55E8">
      <w:pPr>
        <w:pStyle w:val="Heading10"/>
        <w:jc w:val="both"/>
        <w:rPr>
          <w:b/>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A"/>
      <w:bookmarkEnd w:id="3"/>
      <w:bookmarkEnd w:id="4"/>
      <w:bookmarkEnd w:id="5"/>
      <w:bookmarkEnd w:id="6"/>
      <w:bookmarkEnd w:id="7"/>
      <w:bookmarkEnd w:id="8"/>
      <w:r>
        <w:rPr>
          <w:b/>
        </w:rPr>
        <w:t>Legislation</w:t>
      </w:r>
    </w:p>
    <w:p w:rsidR="00D157FF" w:rsidRPr="00D157FF" w:rsidRDefault="00D157FF" w:rsidP="00D157FF">
      <w:r w:rsidRPr="00D157FF">
        <w:t>Maintained schools are required t</w:t>
      </w:r>
      <w:r>
        <w:t xml:space="preserve">o have an up-to-date policy on </w:t>
      </w:r>
      <w:r w:rsidRPr="00D157FF">
        <w:t>RE. For Academies, there is no official requirement; however, if there is a policy, it should be produced with regard to statutory guidance.</w:t>
      </w:r>
    </w:p>
    <w:bookmarkEnd w:id="9"/>
    <w:p w:rsidR="00943A5C" w:rsidRDefault="00943A5C" w:rsidP="003B55E8">
      <w:pPr>
        <w:pStyle w:val="TSB-Level1Numbers"/>
        <w:jc w:val="both"/>
      </w:pPr>
      <w:r>
        <w:t xml:space="preserve">This policy will </w:t>
      </w:r>
      <w:r w:rsidR="00886EFD">
        <w:t>be compliant with</w:t>
      </w:r>
      <w:r>
        <w:t xml:space="preserve"> the following guidance:</w:t>
      </w:r>
    </w:p>
    <w:p w:rsidR="00943A5C" w:rsidRDefault="00943A5C" w:rsidP="00826F4C">
      <w:pPr>
        <w:pStyle w:val="TSB-Level1Numbers"/>
        <w:numPr>
          <w:ilvl w:val="0"/>
          <w:numId w:val="10"/>
        </w:numPr>
        <w:jc w:val="both"/>
      </w:pPr>
      <w:r>
        <w:t>DfE ‘Sex and Relationship Education Guidance’ 2000</w:t>
      </w:r>
    </w:p>
    <w:p w:rsidR="003B55E8" w:rsidRDefault="003B55E8" w:rsidP="00826F4C">
      <w:pPr>
        <w:pStyle w:val="TSB-Level1Numbers"/>
        <w:numPr>
          <w:ilvl w:val="0"/>
          <w:numId w:val="10"/>
        </w:numPr>
        <w:jc w:val="both"/>
      </w:pPr>
      <w:r>
        <w:t>DfE ‘Science programmes of study: key stages 1 and 2’ 2013</w:t>
      </w:r>
    </w:p>
    <w:p w:rsidR="00D157FF" w:rsidRDefault="00D157FF" w:rsidP="00826F4C">
      <w:pPr>
        <w:pStyle w:val="TSB-Level1Numbers"/>
        <w:numPr>
          <w:ilvl w:val="0"/>
          <w:numId w:val="10"/>
        </w:numPr>
        <w:jc w:val="both"/>
      </w:pPr>
      <w:r>
        <w:t>PSHE Association Guidance 2019</w:t>
      </w:r>
    </w:p>
    <w:p w:rsidR="00D157FF" w:rsidRDefault="001E1993" w:rsidP="00826F4C">
      <w:pPr>
        <w:pStyle w:val="TSB-Level1Numbers"/>
        <w:numPr>
          <w:ilvl w:val="0"/>
          <w:numId w:val="10"/>
        </w:numPr>
        <w:jc w:val="both"/>
      </w:pPr>
      <w:r>
        <w:t>Df</w:t>
      </w:r>
      <w:r w:rsidR="00D157FF">
        <w:t>E Relationship and Health Education Guidance July 2019</w:t>
      </w:r>
    </w:p>
    <w:p w:rsidR="005A0899" w:rsidRDefault="005A0899" w:rsidP="00826F4C">
      <w:pPr>
        <w:pStyle w:val="TSB-Level1Numbers"/>
        <w:numPr>
          <w:ilvl w:val="0"/>
          <w:numId w:val="10"/>
        </w:numPr>
        <w:jc w:val="both"/>
      </w:pPr>
      <w:r>
        <w:t>Children’s Act 1989</w:t>
      </w:r>
    </w:p>
    <w:p w:rsidR="005A0899" w:rsidRDefault="005A0899" w:rsidP="00826F4C">
      <w:pPr>
        <w:pStyle w:val="TSB-Level1Numbers"/>
        <w:numPr>
          <w:ilvl w:val="0"/>
          <w:numId w:val="10"/>
        </w:numPr>
        <w:jc w:val="both"/>
      </w:pPr>
      <w:r>
        <w:t>Equality Act 2010</w:t>
      </w:r>
    </w:p>
    <w:p w:rsidR="005A0899" w:rsidRDefault="005A0899" w:rsidP="00826F4C">
      <w:pPr>
        <w:pStyle w:val="TSB-Level1Numbers"/>
        <w:numPr>
          <w:ilvl w:val="0"/>
          <w:numId w:val="10"/>
        </w:numPr>
        <w:jc w:val="both"/>
      </w:pPr>
      <w:r>
        <w:t>Education Act 2011</w:t>
      </w:r>
    </w:p>
    <w:p w:rsidR="001E1993" w:rsidRPr="001E1993" w:rsidRDefault="001E1993" w:rsidP="001E1993">
      <w:pPr>
        <w:pStyle w:val="TSB-Level1Numbers"/>
        <w:numPr>
          <w:ilvl w:val="0"/>
          <w:numId w:val="0"/>
        </w:numPr>
        <w:jc w:val="both"/>
        <w:rPr>
          <w:b/>
          <w:sz w:val="28"/>
          <w:szCs w:val="28"/>
        </w:rPr>
      </w:pPr>
      <w:r w:rsidRPr="001E1993">
        <w:rPr>
          <w:b/>
          <w:sz w:val="28"/>
          <w:szCs w:val="28"/>
        </w:rPr>
        <w:t>2.2. Meeting Requirement</w:t>
      </w:r>
    </w:p>
    <w:p w:rsidR="001E1993" w:rsidRDefault="001E1993" w:rsidP="001E1993">
      <w:pPr>
        <w:pStyle w:val="TSB-Level1Numbers"/>
        <w:numPr>
          <w:ilvl w:val="0"/>
          <w:numId w:val="0"/>
        </w:numPr>
        <w:ind w:left="992"/>
      </w:pPr>
      <w:r>
        <w:t>Under the Education Act 2002/ Academies Act 2010 all schools must provide a balanced and broadly- based curriculum which:</w:t>
      </w:r>
    </w:p>
    <w:p w:rsidR="001E1993" w:rsidRDefault="001E1993" w:rsidP="001E1993">
      <w:pPr>
        <w:pStyle w:val="TSB-Level1Numbers"/>
        <w:numPr>
          <w:ilvl w:val="0"/>
          <w:numId w:val="0"/>
        </w:numPr>
        <w:ind w:left="1423" w:hanging="431"/>
      </w:pPr>
      <w:r>
        <w:t>Promotes the spiritual, moral, cultural mental and physical development of pupils</w:t>
      </w:r>
    </w:p>
    <w:p w:rsidR="001E1993" w:rsidRDefault="001E1993" w:rsidP="001E1993">
      <w:pPr>
        <w:pStyle w:val="TSB-Level1Numbers"/>
        <w:numPr>
          <w:ilvl w:val="0"/>
          <w:numId w:val="0"/>
        </w:numPr>
        <w:ind w:left="1423" w:hanging="431"/>
      </w:pPr>
      <w:r>
        <w:t>at the school and of society.</w:t>
      </w:r>
    </w:p>
    <w:p w:rsidR="001E1993" w:rsidRDefault="001E1993" w:rsidP="001E1993">
      <w:pPr>
        <w:pStyle w:val="TSB-Level1Numbers"/>
        <w:numPr>
          <w:ilvl w:val="0"/>
          <w:numId w:val="0"/>
        </w:numPr>
        <w:ind w:left="992"/>
      </w:pPr>
      <w:r>
        <w:t xml:space="preserve"> Prepares pupils at school for the opportunities, responsibilities and experiences of later life.</w:t>
      </w:r>
    </w:p>
    <w:p w:rsidR="001E1993" w:rsidRDefault="001E1993" w:rsidP="001E1993">
      <w:pPr>
        <w:pStyle w:val="TSB-Level1Numbers"/>
        <w:numPr>
          <w:ilvl w:val="0"/>
          <w:numId w:val="0"/>
        </w:numPr>
        <w:ind w:left="1423" w:hanging="431"/>
        <w:jc w:val="both"/>
      </w:pPr>
    </w:p>
    <w:p w:rsidR="001E1993" w:rsidRDefault="001E1993" w:rsidP="001E1993">
      <w:pPr>
        <w:pStyle w:val="TSB-Level1Numbers"/>
        <w:numPr>
          <w:ilvl w:val="0"/>
          <w:numId w:val="0"/>
        </w:numPr>
        <w:ind w:left="992"/>
        <w:jc w:val="both"/>
      </w:pPr>
      <w:r>
        <w:lastRenderedPageBreak/>
        <w:t>R</w:t>
      </w:r>
      <w:r w:rsidR="00BE074E">
        <w:t xml:space="preserve">elationship </w:t>
      </w:r>
      <w:r>
        <w:t>E</w:t>
      </w:r>
      <w:r w:rsidR="00BE074E">
        <w:t>ducation</w:t>
      </w:r>
      <w:r>
        <w:t xml:space="preserve"> is set within the wider legislative context – The 2006 Education and Inspections Act laid duty on Governing Bodies to ‘promote the wellbeing of pupils at the school’. The duty came in effect in 2007. </w:t>
      </w:r>
    </w:p>
    <w:p w:rsidR="005A0899" w:rsidRDefault="005A0899" w:rsidP="001E1993">
      <w:pPr>
        <w:pStyle w:val="TSB-Level1Numbers"/>
        <w:numPr>
          <w:ilvl w:val="0"/>
          <w:numId w:val="0"/>
        </w:numPr>
        <w:ind w:left="992"/>
        <w:jc w:val="both"/>
      </w:pPr>
      <w:r>
        <w:t>We welcome our duties under the Equality Act 2010 that we have a duty not to discriminate against people on the basis of their age, disability, gender, gender identity, pregnancy or maternity, race, religion or belief and sexual orientation.</w:t>
      </w:r>
    </w:p>
    <w:p w:rsidR="00485228" w:rsidRDefault="00485228" w:rsidP="001E1993">
      <w:pPr>
        <w:pStyle w:val="TSB-Level1Numbers"/>
        <w:numPr>
          <w:ilvl w:val="0"/>
          <w:numId w:val="0"/>
        </w:numPr>
        <w:ind w:left="992"/>
        <w:jc w:val="both"/>
      </w:pPr>
      <w:r>
        <w:t>We believe this policy is in line with the Equality Act 2010 as it is fair, it does not prioritise or disadvantage any pupil and it helps to promote equality at this school.</w:t>
      </w:r>
    </w:p>
    <w:p w:rsidR="001E1993" w:rsidRDefault="001E1993" w:rsidP="00485228">
      <w:pPr>
        <w:pStyle w:val="TSB-Level1Numbers"/>
        <w:numPr>
          <w:ilvl w:val="0"/>
          <w:numId w:val="0"/>
        </w:numPr>
        <w:ind w:left="1423" w:hanging="431"/>
        <w:jc w:val="both"/>
      </w:pPr>
      <w:r>
        <w:t xml:space="preserve">2.3. See also the Common inspection framework: education, skills and </w:t>
      </w:r>
      <w:proofErr w:type="spellStart"/>
      <w:r>
        <w:t>EarlyYears</w:t>
      </w:r>
      <w:proofErr w:type="spellEnd"/>
      <w:r>
        <w:t xml:space="preserve"> from September 2015.</w:t>
      </w:r>
    </w:p>
    <w:p w:rsidR="001E1993" w:rsidRDefault="001E1993" w:rsidP="001E1993">
      <w:pPr>
        <w:pStyle w:val="TSB-Level1Numbers"/>
        <w:numPr>
          <w:ilvl w:val="0"/>
          <w:numId w:val="0"/>
        </w:numPr>
        <w:ind w:left="1423" w:hanging="431"/>
        <w:jc w:val="both"/>
      </w:pPr>
      <w:r>
        <w:t>2.4. See 04/04/17 amendments to the Children and Social Work Bill about Mandatory Relationship Education in Primary Schools by 2019.</w:t>
      </w:r>
    </w:p>
    <w:p w:rsidR="001E1993" w:rsidRDefault="001E1993" w:rsidP="001E1993">
      <w:pPr>
        <w:pStyle w:val="TSB-Level1Numbers"/>
        <w:numPr>
          <w:ilvl w:val="0"/>
          <w:numId w:val="0"/>
        </w:numPr>
        <w:ind w:left="1423" w:hanging="431"/>
        <w:jc w:val="both"/>
      </w:pPr>
      <w:r>
        <w:t>2.5. See OFSTED Exploring the school’s actions to prevent Homophobic and Transphobic bullying – all age groups September 2013 ref no 120181.</w:t>
      </w:r>
    </w:p>
    <w:p w:rsidR="001E1993" w:rsidRDefault="001E1993" w:rsidP="001E1993">
      <w:pPr>
        <w:pStyle w:val="TSB-Level1Numbers"/>
        <w:numPr>
          <w:ilvl w:val="0"/>
          <w:numId w:val="0"/>
        </w:numPr>
        <w:ind w:left="1423" w:hanging="431"/>
        <w:jc w:val="both"/>
      </w:pPr>
      <w:r>
        <w:t>2.6. Related policies:</w:t>
      </w:r>
    </w:p>
    <w:p w:rsidR="001E1993" w:rsidRDefault="005A0899" w:rsidP="001E1993">
      <w:pPr>
        <w:pStyle w:val="TSB-Level1Numbers"/>
        <w:numPr>
          <w:ilvl w:val="0"/>
          <w:numId w:val="0"/>
        </w:numPr>
        <w:ind w:left="1423"/>
        <w:jc w:val="both"/>
      </w:pPr>
      <w:r>
        <w:t>Anti-B</w:t>
      </w:r>
      <w:r w:rsidR="001E1993">
        <w:t>ullying Policy</w:t>
      </w:r>
    </w:p>
    <w:p w:rsidR="001E1993" w:rsidRDefault="001E1993" w:rsidP="001E1993">
      <w:pPr>
        <w:pStyle w:val="TSB-Level1Numbers"/>
        <w:numPr>
          <w:ilvl w:val="0"/>
          <w:numId w:val="0"/>
        </w:numPr>
        <w:ind w:left="1423"/>
        <w:jc w:val="both"/>
      </w:pPr>
      <w:r>
        <w:t>Behaviour Policy</w:t>
      </w:r>
    </w:p>
    <w:p w:rsidR="001E1993" w:rsidRDefault="001E1993" w:rsidP="001E1993">
      <w:pPr>
        <w:pStyle w:val="TSB-Level1Numbers"/>
        <w:numPr>
          <w:ilvl w:val="0"/>
          <w:numId w:val="0"/>
        </w:numPr>
        <w:ind w:left="1423" w:hanging="431"/>
        <w:jc w:val="both"/>
      </w:pPr>
      <w:r>
        <w:t xml:space="preserve">      Child Protection and Safeguarding Policy</w:t>
      </w:r>
    </w:p>
    <w:p w:rsidR="001E1993" w:rsidRDefault="001E1993" w:rsidP="001E1993">
      <w:pPr>
        <w:pStyle w:val="TSB-Level1Numbers"/>
        <w:numPr>
          <w:ilvl w:val="0"/>
          <w:numId w:val="0"/>
        </w:numPr>
        <w:ind w:left="1423"/>
        <w:jc w:val="both"/>
      </w:pPr>
      <w:r>
        <w:t>Curriculum Policies (PSHE, Science)</w:t>
      </w:r>
    </w:p>
    <w:p w:rsidR="00A3145F" w:rsidRDefault="001E1993" w:rsidP="00A3145F">
      <w:pPr>
        <w:pStyle w:val="TSB-Level1Numbers"/>
        <w:numPr>
          <w:ilvl w:val="0"/>
          <w:numId w:val="0"/>
        </w:numPr>
        <w:ind w:left="1423" w:hanging="431"/>
        <w:jc w:val="both"/>
      </w:pPr>
      <w:r>
        <w:t xml:space="preserve">      E-safety Policy</w:t>
      </w:r>
    </w:p>
    <w:p w:rsidR="00BE074E" w:rsidRDefault="00BE074E" w:rsidP="00A3145F">
      <w:pPr>
        <w:pStyle w:val="TSB-Level1Numbers"/>
        <w:numPr>
          <w:ilvl w:val="0"/>
          <w:numId w:val="0"/>
        </w:numPr>
        <w:ind w:left="1423" w:hanging="431"/>
        <w:jc w:val="both"/>
      </w:pPr>
      <w:r>
        <w:t xml:space="preserve">      Inclusion Policy</w:t>
      </w:r>
    </w:p>
    <w:p w:rsidR="00485228" w:rsidRDefault="00485228" w:rsidP="00485228">
      <w:pPr>
        <w:pStyle w:val="TSB-Level1Numbers"/>
        <w:numPr>
          <w:ilvl w:val="0"/>
          <w:numId w:val="0"/>
        </w:numPr>
        <w:ind w:left="1423" w:hanging="431"/>
        <w:jc w:val="both"/>
      </w:pPr>
    </w:p>
    <w:p w:rsidR="00417B0C" w:rsidRPr="001E1993" w:rsidRDefault="0002379C" w:rsidP="00826F4C">
      <w:pPr>
        <w:pStyle w:val="Heading10"/>
        <w:numPr>
          <w:ilvl w:val="0"/>
          <w:numId w:val="16"/>
        </w:numPr>
        <w:jc w:val="both"/>
        <w:rPr>
          <w:b/>
        </w:rPr>
      </w:pPr>
      <w:bookmarkStart w:id="10" w:name="bb"/>
      <w:bookmarkStart w:id="11" w:name="B"/>
      <w:r w:rsidRPr="001E1993">
        <w:rPr>
          <w:b/>
        </w:rPr>
        <w:t xml:space="preserve">Organisation </w:t>
      </w:r>
      <w:r w:rsidR="00F72C16" w:rsidRPr="001E1993">
        <w:rPr>
          <w:b/>
        </w:rPr>
        <w:t>of the programme</w:t>
      </w:r>
    </w:p>
    <w:bookmarkEnd w:id="10"/>
    <w:bookmarkEnd w:id="11"/>
    <w:p w:rsidR="00417B0C" w:rsidRPr="007D34D4" w:rsidRDefault="001E1993" w:rsidP="003B55E8">
      <w:pPr>
        <w:pStyle w:val="TSB-Level1Numbers"/>
        <w:jc w:val="both"/>
      </w:pPr>
      <w:r>
        <w:rPr>
          <w:szCs w:val="22"/>
        </w:rPr>
        <w:t>The r</w:t>
      </w:r>
      <w:r w:rsidR="007D34D4" w:rsidRPr="00FF5980">
        <w:rPr>
          <w:szCs w:val="22"/>
        </w:rPr>
        <w:t xml:space="preserve">elationship education programme will be developed in conjunction with the views of teachers, pupils and parents by the </w:t>
      </w:r>
      <w:r w:rsidR="007D34D4" w:rsidRPr="004440B0">
        <w:rPr>
          <w:szCs w:val="22"/>
        </w:rPr>
        <w:t>PSHE coordinator</w:t>
      </w:r>
      <w:r w:rsidR="007D34D4" w:rsidRPr="00FF5980">
        <w:rPr>
          <w:szCs w:val="22"/>
        </w:rPr>
        <w:t>, in accordance with DfE recommendations</w:t>
      </w:r>
      <w:r w:rsidR="007D34D4">
        <w:rPr>
          <w:szCs w:val="22"/>
        </w:rPr>
        <w:t>.</w:t>
      </w:r>
    </w:p>
    <w:p w:rsidR="007D34D4" w:rsidRPr="00FF5980" w:rsidRDefault="007D34D4" w:rsidP="003B55E8">
      <w:pPr>
        <w:pStyle w:val="TSB-Level1Numbers"/>
        <w:jc w:val="both"/>
      </w:pPr>
      <w:r w:rsidRPr="00FF5980">
        <w:t xml:space="preserve">The majority of the programme will be delivered through </w:t>
      </w:r>
      <w:r w:rsidR="00EC3908">
        <w:t>personal, social, health and economic (</w:t>
      </w:r>
      <w:r w:rsidRPr="00FF5980">
        <w:t>PSHE</w:t>
      </w:r>
      <w:r w:rsidR="00EC3908">
        <w:t>)</w:t>
      </w:r>
      <w:r w:rsidRPr="00FF5980">
        <w:t xml:space="preserve"> </w:t>
      </w:r>
      <w:r w:rsidR="003B55E8">
        <w:t>education</w:t>
      </w:r>
      <w:r w:rsidRPr="00FF5980">
        <w:t xml:space="preserve">, with </w:t>
      </w:r>
      <w:r w:rsidR="00AB2B41">
        <w:t xml:space="preserve">statutory </w:t>
      </w:r>
      <w:r w:rsidRPr="00FF5980">
        <w:t xml:space="preserve">aspects taught via the science curriculum. </w:t>
      </w:r>
    </w:p>
    <w:p w:rsidR="00A61CDA" w:rsidRDefault="00EC3908" w:rsidP="003B55E8">
      <w:pPr>
        <w:pStyle w:val="TSB-Level1Numbers"/>
        <w:jc w:val="both"/>
      </w:pPr>
      <w:r>
        <w:t>At</w:t>
      </w:r>
      <w:r w:rsidR="007D34D4">
        <w:t xml:space="preserve"> key stage </w:t>
      </w:r>
      <w:r w:rsidR="00A61CDA">
        <w:t>1 and</w:t>
      </w:r>
      <w:r w:rsidR="007D34D4">
        <w:t xml:space="preserve"> key stage 2</w:t>
      </w:r>
      <w:r>
        <w:t>,</w:t>
      </w:r>
      <w:r w:rsidR="007D34D4">
        <w:t xml:space="preserve"> </w:t>
      </w:r>
      <w:r>
        <w:t xml:space="preserve">the topics </w:t>
      </w:r>
      <w:r w:rsidR="007D34D4">
        <w:t>are broken down into specif</w:t>
      </w:r>
      <w:r w:rsidR="00364F14">
        <w:t xml:space="preserve">ic </w:t>
      </w:r>
      <w:r>
        <w:t>areas</w:t>
      </w:r>
      <w:r w:rsidR="00364F14">
        <w:t xml:space="preserve"> </w:t>
      </w:r>
      <w:r>
        <w:t>that will be taught appropriate to</w:t>
      </w:r>
      <w:r w:rsidR="00364F14">
        <w:t xml:space="preserve"> pupils’</w:t>
      </w:r>
      <w:r w:rsidR="007D34D4">
        <w:t xml:space="preserve"> age</w:t>
      </w:r>
      <w:r w:rsidR="00364F14">
        <w:t>s</w:t>
      </w:r>
      <w:r w:rsidR="00A61CDA">
        <w:t xml:space="preserve">. </w:t>
      </w:r>
    </w:p>
    <w:p w:rsidR="00364F14" w:rsidRPr="00BE074E" w:rsidRDefault="00A61CDA" w:rsidP="004440B0">
      <w:pPr>
        <w:pStyle w:val="TSB-Level1Numbers"/>
        <w:jc w:val="both"/>
      </w:pPr>
      <w:r>
        <w:t xml:space="preserve">Elements of the topics </w:t>
      </w:r>
      <w:r w:rsidR="00A32D3A">
        <w:t xml:space="preserve">for key stage 1 and 2 </w:t>
      </w:r>
      <w:r>
        <w:t xml:space="preserve">are statutory in accordance with the </w:t>
      </w:r>
      <w:hyperlink w:anchor="O" w:history="1">
        <w:r w:rsidR="00886EFD" w:rsidRPr="00886EFD">
          <w:rPr>
            <w:rStyle w:val="Hyperlink"/>
          </w:rPr>
          <w:t>science national</w:t>
        </w:r>
        <w:r w:rsidRPr="00886EFD">
          <w:rPr>
            <w:rStyle w:val="Hyperlink"/>
          </w:rPr>
          <w:t xml:space="preserve"> </w:t>
        </w:r>
        <w:r w:rsidR="00A32D3A" w:rsidRPr="00886EFD">
          <w:rPr>
            <w:rStyle w:val="Hyperlink"/>
          </w:rPr>
          <w:t>curriculum</w:t>
        </w:r>
      </w:hyperlink>
      <w:r w:rsidR="00A32D3A">
        <w:t xml:space="preserve"> and therefore must be taught. </w:t>
      </w:r>
      <w:r w:rsidR="004440B0" w:rsidRPr="004440B0">
        <w:rPr>
          <w:highlight w:val="lightGray"/>
        </w:rPr>
        <w:t xml:space="preserve"> </w:t>
      </w:r>
    </w:p>
    <w:p w:rsidR="00BE074E" w:rsidRDefault="00BE074E" w:rsidP="00BE074E">
      <w:pPr>
        <w:pStyle w:val="TSB-Level1Numbers"/>
        <w:numPr>
          <w:ilvl w:val="0"/>
          <w:numId w:val="0"/>
        </w:numPr>
        <w:ind w:left="1423"/>
        <w:jc w:val="both"/>
      </w:pPr>
    </w:p>
    <w:p w:rsidR="00C2668A" w:rsidRDefault="007D34D4" w:rsidP="003B55E8">
      <w:pPr>
        <w:pStyle w:val="Heading10"/>
        <w:jc w:val="both"/>
        <w:rPr>
          <w:b/>
        </w:rPr>
      </w:pPr>
      <w:bookmarkStart w:id="12" w:name="cc"/>
      <w:bookmarkStart w:id="13" w:name="C"/>
      <w:r>
        <w:rPr>
          <w:b/>
        </w:rPr>
        <w:lastRenderedPageBreak/>
        <w:t>Key stage 1</w:t>
      </w:r>
      <w:bookmarkEnd w:id="12"/>
      <w:bookmarkEnd w:id="13"/>
    </w:p>
    <w:p w:rsidR="00930395" w:rsidRDefault="00C3785D" w:rsidP="003B55E8">
      <w:pPr>
        <w:pStyle w:val="TSB-Level1Numbers"/>
        <w:jc w:val="both"/>
      </w:pPr>
      <w:r>
        <w:t>Pupils in Year 1 are taught:</w:t>
      </w:r>
      <w:r w:rsidR="00943A5C">
        <w:t xml:space="preserve"> </w:t>
      </w:r>
    </w:p>
    <w:p w:rsidR="00943A5C" w:rsidRDefault="00943A5C" w:rsidP="003B55E8">
      <w:pPr>
        <w:pStyle w:val="TSB-PolicyBullets"/>
        <w:jc w:val="both"/>
      </w:pPr>
      <w:r>
        <w:t>About the different ways in which they have changed since they were a baby, including the changes to their bodies.</w:t>
      </w:r>
    </w:p>
    <w:p w:rsidR="00943A5C" w:rsidRDefault="00943A5C" w:rsidP="003B55E8">
      <w:pPr>
        <w:pStyle w:val="TSB-PolicyBullets"/>
        <w:jc w:val="both"/>
      </w:pPr>
      <w:r>
        <w:t>Biological names for various body parts including penis, vagina, testicles and breasts.</w:t>
      </w:r>
    </w:p>
    <w:p w:rsidR="00943A5C" w:rsidRDefault="00943A5C" w:rsidP="003B55E8">
      <w:pPr>
        <w:pStyle w:val="TSB-PolicyBullets"/>
        <w:jc w:val="both"/>
      </w:pPr>
      <w:r>
        <w:t>The different words families may have for these body parts.</w:t>
      </w:r>
    </w:p>
    <w:p w:rsidR="003B55E8" w:rsidRDefault="003B55E8" w:rsidP="003B55E8">
      <w:pPr>
        <w:pStyle w:val="TSB-PolicyBullets"/>
        <w:numPr>
          <w:ilvl w:val="0"/>
          <w:numId w:val="0"/>
        </w:numPr>
        <w:ind w:left="1491"/>
        <w:jc w:val="both"/>
      </w:pPr>
    </w:p>
    <w:p w:rsidR="00943A5C" w:rsidRDefault="00C3785D" w:rsidP="003B55E8">
      <w:pPr>
        <w:pStyle w:val="TSB-Level1Numbers"/>
        <w:jc w:val="both"/>
      </w:pPr>
      <w:r>
        <w:t>Pupils in Year 2 are taught:</w:t>
      </w:r>
    </w:p>
    <w:p w:rsidR="00943A5C" w:rsidRDefault="00943A5C" w:rsidP="003B55E8">
      <w:pPr>
        <w:pStyle w:val="TSB-PolicyBullets"/>
        <w:jc w:val="both"/>
      </w:pPr>
      <w:r>
        <w:t>To match the correct body parts to a male and female.</w:t>
      </w:r>
    </w:p>
    <w:p w:rsidR="001E1993" w:rsidRDefault="001E1993" w:rsidP="003B55E8">
      <w:pPr>
        <w:pStyle w:val="TSB-PolicyBullets"/>
        <w:jc w:val="both"/>
      </w:pPr>
      <w:r>
        <w:t>To learn which parts of the body are private and should not be touched, and who they can talk to if they are worried or upset about something.</w:t>
      </w:r>
    </w:p>
    <w:p w:rsidR="00943A5C" w:rsidRDefault="00943A5C" w:rsidP="003B55E8">
      <w:pPr>
        <w:pStyle w:val="TSB-PolicyBullets"/>
        <w:jc w:val="both"/>
      </w:pPr>
      <w:r>
        <w:t>The function of clothing to make us look nice, keep us warm and keep certain parts of our bodies private.</w:t>
      </w:r>
    </w:p>
    <w:p w:rsidR="001E1993" w:rsidRDefault="001E1993" w:rsidP="003B55E8">
      <w:pPr>
        <w:pStyle w:val="TSB-PolicyBullets"/>
        <w:jc w:val="both"/>
      </w:pPr>
      <w:r>
        <w:t>About the lifecycle of animals and humans who reproduce and produce off spring which grow into adults.</w:t>
      </w:r>
    </w:p>
    <w:p w:rsidR="00B0083B" w:rsidRDefault="00943A5C" w:rsidP="003B55E8">
      <w:pPr>
        <w:pStyle w:val="TSB-PolicyBullets"/>
        <w:jc w:val="both"/>
      </w:pPr>
      <w:r>
        <w:t xml:space="preserve">About the </w:t>
      </w:r>
      <w:r w:rsidR="007F4B28">
        <w:t xml:space="preserve">cycle of life and the </w:t>
      </w:r>
      <w:r>
        <w:t xml:space="preserve">process </w:t>
      </w:r>
      <w:r w:rsidR="008D67EA">
        <w:t>of aging</w:t>
      </w:r>
      <w:r>
        <w:t xml:space="preserve"> and the fact that this cannot be controlled.</w:t>
      </w:r>
    </w:p>
    <w:p w:rsidR="00417B0C" w:rsidRDefault="007D34D4" w:rsidP="003B55E8">
      <w:pPr>
        <w:pStyle w:val="Heading10"/>
        <w:jc w:val="both"/>
        <w:rPr>
          <w:b/>
        </w:rPr>
      </w:pPr>
      <w:bookmarkStart w:id="14" w:name="dd"/>
      <w:bookmarkStart w:id="15" w:name="D"/>
      <w:r>
        <w:rPr>
          <w:b/>
        </w:rPr>
        <w:t>Key stage 2</w:t>
      </w:r>
      <w:bookmarkEnd w:id="14"/>
      <w:bookmarkEnd w:id="15"/>
    </w:p>
    <w:p w:rsidR="00B0083B" w:rsidRDefault="00C3785D" w:rsidP="003B55E8">
      <w:pPr>
        <w:pStyle w:val="TSB-Level1Numbers"/>
        <w:jc w:val="both"/>
      </w:pPr>
      <w:r>
        <w:t>Pupils in Year 3 are taught:</w:t>
      </w:r>
    </w:p>
    <w:p w:rsidR="00EB374D" w:rsidRPr="00213554" w:rsidRDefault="00EB374D" w:rsidP="00EB374D">
      <w:pPr>
        <w:pStyle w:val="TSB-PolicyBullets"/>
        <w:jc w:val="both"/>
      </w:pPr>
      <w:r>
        <w:t>About the importance of relationships, focussing on the development of friendships.</w:t>
      </w:r>
    </w:p>
    <w:p w:rsidR="00B0083B" w:rsidRDefault="00355D66" w:rsidP="003B55E8">
      <w:pPr>
        <w:pStyle w:val="TSB-PolicyBullets"/>
        <w:jc w:val="both"/>
      </w:pPr>
      <w:r>
        <w:t>About the importance of hygiene</w:t>
      </w:r>
      <w:r w:rsidR="007F4B28">
        <w:t xml:space="preserve"> and looking after our bodies.</w:t>
      </w:r>
    </w:p>
    <w:p w:rsidR="00B0083B" w:rsidRPr="004C2A50" w:rsidRDefault="00B0083B" w:rsidP="003B55E8">
      <w:pPr>
        <w:pStyle w:val="TSB-PolicyBullets"/>
        <w:jc w:val="both"/>
      </w:pPr>
      <w:r>
        <w:t>About stereotypical ideas regarding parenting and family roles.</w:t>
      </w:r>
    </w:p>
    <w:p w:rsidR="00B0083B" w:rsidRDefault="00C3785D" w:rsidP="003B55E8">
      <w:pPr>
        <w:pStyle w:val="TSB-Level1Numbers"/>
        <w:jc w:val="both"/>
      </w:pPr>
      <w:r>
        <w:t>Pupils in Year 4 are taught:</w:t>
      </w:r>
    </w:p>
    <w:p w:rsidR="00B0083B" w:rsidRDefault="00B0083B" w:rsidP="003B55E8">
      <w:pPr>
        <w:pStyle w:val="TSB-PolicyBullets"/>
        <w:jc w:val="both"/>
      </w:pPr>
      <w:r w:rsidRPr="00213554">
        <w:t xml:space="preserve">To identify some of the changes which have already happened to their bodies (e.g. growing taller) and accepting that they cannot change these. </w:t>
      </w:r>
    </w:p>
    <w:p w:rsidR="00EB374D" w:rsidRPr="00EB374D" w:rsidRDefault="00EB374D" w:rsidP="00EB374D">
      <w:pPr>
        <w:pStyle w:val="TSB-PolicyBullets"/>
        <w:jc w:val="both"/>
        <w:rPr>
          <w:b/>
        </w:rPr>
      </w:pPr>
      <w:r>
        <w:t xml:space="preserve">About ‘self-image’ and the idea that how they see themselves is not necessarily how others see them. </w:t>
      </w:r>
    </w:p>
    <w:p w:rsidR="00EB374D" w:rsidRDefault="00EB374D" w:rsidP="00EB374D">
      <w:pPr>
        <w:pStyle w:val="TSB-PolicyBullets"/>
        <w:jc w:val="both"/>
      </w:pPr>
      <w:r>
        <w:t>The importance of looking after themselves physically and emotionally.</w:t>
      </w:r>
    </w:p>
    <w:p w:rsidR="00EB374D" w:rsidRDefault="002A2A00" w:rsidP="00826F4C">
      <w:pPr>
        <w:pStyle w:val="TSB-PolicyBullets"/>
        <w:jc w:val="both"/>
      </w:pPr>
      <w:r w:rsidRPr="002A2A00">
        <w:t>About the importance of relationships, focussing on the development of friendships.</w:t>
      </w:r>
    </w:p>
    <w:p w:rsidR="00B0083B" w:rsidRDefault="00C3785D" w:rsidP="003B55E8">
      <w:pPr>
        <w:pStyle w:val="TSB-Level1Numbers"/>
        <w:jc w:val="both"/>
      </w:pPr>
      <w:r>
        <w:t>Pupils in Year 5 are taught:</w:t>
      </w:r>
    </w:p>
    <w:p w:rsidR="00EB374D" w:rsidRDefault="00EB374D" w:rsidP="00EB374D">
      <w:pPr>
        <w:pStyle w:val="TSB-PolicyBullets"/>
        <w:jc w:val="both"/>
      </w:pPr>
      <w:r>
        <w:t>That women have babies and that in most animals, it is also the female that has babies.</w:t>
      </w:r>
    </w:p>
    <w:p w:rsidR="002A2A00" w:rsidRDefault="002A2A00" w:rsidP="002A2A00">
      <w:pPr>
        <w:pStyle w:val="TSB-PolicyBullets"/>
      </w:pPr>
      <w:r>
        <w:t>About the way a baby grows in its mother’s uterus.</w:t>
      </w:r>
    </w:p>
    <w:p w:rsidR="002A2A00" w:rsidRDefault="002A2A00" w:rsidP="002A2A00">
      <w:pPr>
        <w:pStyle w:val="TSB-PolicyBullets"/>
      </w:pPr>
      <w:r>
        <w:t>About the word “puberty”, and that this is used to explain when a child’s body turns into an adult.</w:t>
      </w:r>
    </w:p>
    <w:p w:rsidR="002A2A00" w:rsidRDefault="002A2A00" w:rsidP="002A2A00">
      <w:pPr>
        <w:pStyle w:val="TSB-PolicyBullets"/>
      </w:pPr>
      <w:r>
        <w:t>That puberty is necessary in order for the body to be able to make babies.</w:t>
      </w:r>
    </w:p>
    <w:p w:rsidR="00EB649E" w:rsidRDefault="00EB649E" w:rsidP="002A2A00">
      <w:pPr>
        <w:pStyle w:val="TSB-PolicyBullets"/>
      </w:pPr>
      <w:r>
        <w:lastRenderedPageBreak/>
        <w:t>Key facts about the menstrual cycle including what an average period is.</w:t>
      </w:r>
    </w:p>
    <w:p w:rsidR="00EB649E" w:rsidRDefault="00EB649E" w:rsidP="002A2A00">
      <w:pPr>
        <w:pStyle w:val="TSB-PolicyBullets"/>
      </w:pPr>
      <w:r>
        <w:t>About the range of menstrual products there are for girls / women to use.</w:t>
      </w:r>
    </w:p>
    <w:p w:rsidR="00EB649E" w:rsidRDefault="00EB649E" w:rsidP="002A2A00">
      <w:pPr>
        <w:pStyle w:val="TSB-PolicyBullets"/>
      </w:pPr>
      <w:r>
        <w:t>About the implications of the menstrual cycle on emotional and physical health.</w:t>
      </w:r>
    </w:p>
    <w:p w:rsidR="002A2A00" w:rsidRDefault="005A0899" w:rsidP="002A2A00">
      <w:pPr>
        <w:pStyle w:val="TSB-PolicyBullets"/>
      </w:pPr>
      <w:r>
        <w:t xml:space="preserve">That </w:t>
      </w:r>
      <w:r w:rsidR="002A2A00">
        <w:t>girls begin periods once they have entered puberty and that this is a natural process necessary to being able to one day make a baby.</w:t>
      </w:r>
    </w:p>
    <w:p w:rsidR="00EB649E" w:rsidRDefault="002A2A00" w:rsidP="002A2A00">
      <w:pPr>
        <w:pStyle w:val="TSB-PolicyBullets"/>
      </w:pPr>
      <w:r>
        <w:t xml:space="preserve">That </w:t>
      </w:r>
      <w:r w:rsidR="00EB649E">
        <w:t>living things can produce off spring of the same kind and that characteristics are passed on from parents to their off spring.</w:t>
      </w:r>
    </w:p>
    <w:p w:rsidR="002A2A00" w:rsidRDefault="002A2A00" w:rsidP="002A2A00">
      <w:pPr>
        <w:pStyle w:val="TSB-PolicyBullets"/>
      </w:pPr>
      <w:r>
        <w:t xml:space="preserve">More about how girls’ and boys’ bodies change during puberty, including how they </w:t>
      </w:r>
      <w:r w:rsidR="00EB649E">
        <w:t>might feel about these changes (emotional health).</w:t>
      </w:r>
    </w:p>
    <w:p w:rsidR="00EB649E" w:rsidRDefault="00EB649E" w:rsidP="002A2A00">
      <w:pPr>
        <w:pStyle w:val="TSB-PolicyBullets"/>
      </w:pPr>
      <w:r>
        <w:t>To recognise the changes as humans develop into old age.</w:t>
      </w:r>
    </w:p>
    <w:p w:rsidR="002A2A00" w:rsidRDefault="002A2A00" w:rsidP="002A2A00">
      <w:pPr>
        <w:pStyle w:val="TSB-PolicyBullets"/>
      </w:pPr>
      <w:r>
        <w:t>About ‘self-image’ and the idea that how they see themselves is not necessarily how others see them.</w:t>
      </w:r>
    </w:p>
    <w:p w:rsidR="00B0083B" w:rsidRDefault="00C3785D" w:rsidP="003B55E8">
      <w:pPr>
        <w:pStyle w:val="TSB-Level1Numbers"/>
        <w:jc w:val="both"/>
      </w:pPr>
      <w:r>
        <w:t>Pupils in Year 6 are taught:</w:t>
      </w:r>
    </w:p>
    <w:p w:rsidR="002A2A00" w:rsidRDefault="002A2A00" w:rsidP="002A2A00">
      <w:pPr>
        <w:pStyle w:val="TSB-PolicyBullets"/>
      </w:pPr>
      <w:r>
        <w:t>About different situations and scenarios represented in the world around them (e.g. same sex parents).</w:t>
      </w:r>
    </w:p>
    <w:p w:rsidR="002A2A00" w:rsidRPr="00BE67C9" w:rsidRDefault="002A2A00" w:rsidP="002A2A00">
      <w:pPr>
        <w:pStyle w:val="TSB-PolicyBullets"/>
        <w:jc w:val="both"/>
        <w:rPr>
          <w:b/>
        </w:rPr>
      </w:pPr>
      <w:r>
        <w:t>That attraction to others of the opposite or same sex is a natural part of growing up.</w:t>
      </w:r>
    </w:p>
    <w:p w:rsidR="002A2A00" w:rsidRPr="00BE67C9" w:rsidRDefault="002A2A00" w:rsidP="002A2A00">
      <w:pPr>
        <w:pStyle w:val="TSB-PolicyBullets"/>
        <w:jc w:val="both"/>
      </w:pPr>
      <w:r>
        <w:t>The way in which being physically attracted to someone might change the nature of the relationship that they have with each other.</w:t>
      </w:r>
    </w:p>
    <w:p w:rsidR="00EB649E" w:rsidRDefault="002A2A00" w:rsidP="002A2A00">
      <w:pPr>
        <w:pStyle w:val="TSB-PolicyBullets"/>
      </w:pPr>
      <w:r>
        <w:t>About different situations and scenarios represented in the world around</w:t>
      </w:r>
      <w:r w:rsidR="00EB649E">
        <w:t xml:space="preserve"> them (e.g. same sex parents). </w:t>
      </w:r>
    </w:p>
    <w:p w:rsidR="00EB649E" w:rsidRDefault="00EB649E" w:rsidP="002A2A00">
      <w:pPr>
        <w:pStyle w:val="TSB-PolicyBullets"/>
      </w:pPr>
      <w:r>
        <w:t>T</w:t>
      </w:r>
      <w:r w:rsidR="002A2A00">
        <w:t xml:space="preserve">hat two people who love and care for one another can be in a committed relationship and not be married or in a civil partnership. </w:t>
      </w:r>
    </w:p>
    <w:p w:rsidR="002A2A00" w:rsidRDefault="002A2A00" w:rsidP="002A2A00">
      <w:pPr>
        <w:pStyle w:val="TSB-PolicyBullets"/>
      </w:pPr>
      <w:r>
        <w:t>That forcing anyone to marry is a crime; that there is support to protect and prevent people being forced into marriage and to know where to get support for themselves or others.</w:t>
      </w:r>
    </w:p>
    <w:p w:rsidR="002A2A00" w:rsidRDefault="002A2A00" w:rsidP="002A2A00">
      <w:pPr>
        <w:pStyle w:val="TSB-PolicyBullets"/>
      </w:pPr>
      <w:r>
        <w:t>About what terms such as “gay” mean, as and when these terms arise.</w:t>
      </w:r>
    </w:p>
    <w:p w:rsidR="00BE67C9" w:rsidRDefault="00BE67C9" w:rsidP="00BE67C9">
      <w:pPr>
        <w:pStyle w:val="TSB-PolicyBullets"/>
        <w:jc w:val="both"/>
      </w:pPr>
      <w:r>
        <w:t xml:space="preserve">The biological terminology used to describe changes in boys’ and girls’ bodies as they go through puberty. </w:t>
      </w:r>
    </w:p>
    <w:p w:rsidR="008475E6" w:rsidRPr="008475E6" w:rsidRDefault="008475E6" w:rsidP="003B55E8">
      <w:pPr>
        <w:pStyle w:val="TSB-PolicyBullets"/>
        <w:jc w:val="both"/>
        <w:rPr>
          <w:b/>
        </w:rPr>
      </w:pPr>
      <w:r>
        <w:t>That having a baby is a choice which responsible adults make when they are with someone they love.</w:t>
      </w:r>
    </w:p>
    <w:p w:rsidR="00B0083B" w:rsidRDefault="00B0083B" w:rsidP="003B55E8">
      <w:pPr>
        <w:pStyle w:val="TSB-PolicyBullets"/>
        <w:jc w:val="both"/>
      </w:pPr>
      <w:r>
        <w:t>Strategies for the development of positive self-image and self-esteem.</w:t>
      </w:r>
    </w:p>
    <w:p w:rsidR="00EB649E" w:rsidRDefault="00EB649E" w:rsidP="00EB649E">
      <w:pPr>
        <w:pStyle w:val="TSB-PolicyBullets"/>
      </w:pPr>
      <w:r>
        <w:t>To know that are some cultural practices which are against British Law and universal human rights such as Female Genital Mutilation (FGM)</w:t>
      </w:r>
    </w:p>
    <w:p w:rsidR="00EB649E" w:rsidRDefault="00EB649E" w:rsidP="00EB649E">
      <w:pPr>
        <w:pStyle w:val="TSB-PolicyBullets"/>
      </w:pPr>
      <w:r>
        <w:t>About taking care of their body, understanding that they have the right to protect their body from inappropriate and unwanted contact; understanding that actions such as Domestic Violence, Female Genital Mutilation (FGM) constitutes as abuse and are a crime, and develop the skills and strategies required to get support if they have fears for themselves or their peers.</w:t>
      </w:r>
    </w:p>
    <w:p w:rsidR="00B0083B" w:rsidRDefault="00B0083B" w:rsidP="003B55E8">
      <w:pPr>
        <w:pStyle w:val="TSB-PolicyBullets"/>
        <w:jc w:val="both"/>
      </w:pPr>
      <w:r>
        <w:t>To use their knowledge to answer questions their peers may have about getting older.</w:t>
      </w:r>
    </w:p>
    <w:p w:rsidR="00EB374D" w:rsidRPr="00213554" w:rsidRDefault="00EB374D" w:rsidP="00EB374D">
      <w:pPr>
        <w:pStyle w:val="TSB-PolicyBullets"/>
        <w:jc w:val="both"/>
        <w:rPr>
          <w:b/>
        </w:rPr>
      </w:pPr>
      <w:r>
        <w:t>To identify things that they are looking forward to about becoming a teenager and to understand that growing up brings responsibilities.</w:t>
      </w:r>
    </w:p>
    <w:p w:rsidR="00EB374D" w:rsidRPr="007F4B28" w:rsidRDefault="00EB374D" w:rsidP="007F4B28">
      <w:pPr>
        <w:pStyle w:val="TSB-PolicyBullets"/>
        <w:jc w:val="both"/>
        <w:rPr>
          <w:b/>
        </w:rPr>
      </w:pPr>
      <w:r>
        <w:t>That the legal age for sexual consent is 16.</w:t>
      </w:r>
    </w:p>
    <w:p w:rsidR="00120214" w:rsidRDefault="00120214" w:rsidP="00120214">
      <w:pPr>
        <w:pStyle w:val="TSB-PolicyBullets"/>
      </w:pPr>
      <w:r>
        <w:lastRenderedPageBreak/>
        <w:t>Strategies for keeping safe online; the importance of protecting personal information, including passwords, addresses and the distribution of these with others.</w:t>
      </w:r>
    </w:p>
    <w:p w:rsidR="00120214" w:rsidRDefault="00120214" w:rsidP="00120214">
      <w:pPr>
        <w:pStyle w:val="TSB-PolicyBullets"/>
      </w:pPr>
      <w:r>
        <w:t>How to manage requests for images of themselves or others and their distribution. What is appropriate to ask for and share; whom to talk to if they feel uncomfortable or are concerned by such a request.</w:t>
      </w:r>
    </w:p>
    <w:p w:rsidR="00120214" w:rsidRDefault="00120214" w:rsidP="00120214">
      <w:pPr>
        <w:pStyle w:val="TSB-PolicyBullets"/>
      </w:pPr>
      <w:r>
        <w:t>About what to expect in secondary school and to discuss any worries that they might have about this transition. This reflects the fact that it is precisely during this transition that physical, emotional and social changes occur. With this comes a difficulty in knowing what to teach and where to stop. Children seem to grow up quickly during this period, and will be subject to pressures the likes of which they will probably not have experienced before. Therefore, children should be appropriately prepared for just such a transition, armed with a healthy balance of:</w:t>
      </w:r>
    </w:p>
    <w:p w:rsidR="00120214" w:rsidRDefault="00120214" w:rsidP="00120214">
      <w:pPr>
        <w:pStyle w:val="TSB-PolicyBullets"/>
        <w:numPr>
          <w:ilvl w:val="0"/>
          <w:numId w:val="0"/>
        </w:numPr>
        <w:ind w:left="1491"/>
      </w:pPr>
      <w:r>
        <w:t>o knowledge and respect;</w:t>
      </w:r>
    </w:p>
    <w:p w:rsidR="00120214" w:rsidRDefault="00120214" w:rsidP="00120214">
      <w:pPr>
        <w:pStyle w:val="TSB-PolicyBullets"/>
        <w:numPr>
          <w:ilvl w:val="0"/>
          <w:numId w:val="0"/>
        </w:numPr>
        <w:ind w:left="1491"/>
      </w:pPr>
      <w:r>
        <w:t>o self-confidence and assertiveness;</w:t>
      </w:r>
    </w:p>
    <w:p w:rsidR="00120214" w:rsidRDefault="00120214" w:rsidP="00120214">
      <w:pPr>
        <w:pStyle w:val="TSB-PolicyBullets"/>
        <w:numPr>
          <w:ilvl w:val="0"/>
          <w:numId w:val="0"/>
        </w:numPr>
        <w:ind w:left="1491"/>
      </w:pPr>
      <w:r>
        <w:t>o communication skills;</w:t>
      </w:r>
    </w:p>
    <w:p w:rsidR="00120214" w:rsidRDefault="00120214" w:rsidP="00120214">
      <w:pPr>
        <w:pStyle w:val="TSB-PolicyBullets"/>
        <w:numPr>
          <w:ilvl w:val="0"/>
          <w:numId w:val="0"/>
        </w:numPr>
        <w:ind w:left="1491"/>
      </w:pPr>
      <w:r>
        <w:t>o an appreciation of the value of family life (taking into consideration and being sensitive to the possible complex and varied family backgrounds and structures).</w:t>
      </w:r>
    </w:p>
    <w:p w:rsidR="00B0083B" w:rsidRPr="00B0083B" w:rsidRDefault="00B0083B" w:rsidP="003B55E8">
      <w:pPr>
        <w:pStyle w:val="TSB-Level1Numbers"/>
        <w:jc w:val="both"/>
      </w:pPr>
      <w:r>
        <w:t xml:space="preserve">During </w:t>
      </w:r>
      <w:r w:rsidR="003B55E8">
        <w:t>Y</w:t>
      </w:r>
      <w:r>
        <w:t xml:space="preserve">ear </w:t>
      </w:r>
      <w:r w:rsidR="00120214">
        <w:t xml:space="preserve">5 and </w:t>
      </w:r>
      <w:r w:rsidR="00082C0E">
        <w:t>6</w:t>
      </w:r>
      <w:r>
        <w:t xml:space="preserve"> classes, pupils may be taught in </w:t>
      </w:r>
      <w:r w:rsidR="00C55242">
        <w:t>smaller</w:t>
      </w:r>
      <w:r>
        <w:t xml:space="preserve"> groups dependent upon the nature of the topic being taught.</w:t>
      </w:r>
      <w:r w:rsidR="007F4B28">
        <w:t xml:space="preserve"> Where possible the designated school nurse</w:t>
      </w:r>
      <w:r w:rsidR="00BE074E">
        <w:t>, PSHE co-ordinator</w:t>
      </w:r>
      <w:r w:rsidR="007F4B28">
        <w:t xml:space="preserve"> will also </w:t>
      </w:r>
      <w:r w:rsidR="009B63A3">
        <w:t xml:space="preserve">lead / </w:t>
      </w:r>
      <w:r w:rsidR="007F4B28">
        <w:t>attend these sessions.</w:t>
      </w:r>
    </w:p>
    <w:p w:rsidR="001F0886" w:rsidRDefault="001F0886" w:rsidP="003B55E8">
      <w:pPr>
        <w:pStyle w:val="Heading10"/>
        <w:jc w:val="both"/>
        <w:rPr>
          <w:b/>
        </w:rPr>
      </w:pPr>
      <w:bookmarkStart w:id="16" w:name="G"/>
      <w:r w:rsidRPr="001F0886">
        <w:rPr>
          <w:b/>
        </w:rPr>
        <w:t>Training of staff</w:t>
      </w:r>
    </w:p>
    <w:bookmarkEnd w:id="16"/>
    <w:p w:rsidR="001F0886" w:rsidRDefault="00432D34" w:rsidP="003B55E8">
      <w:pPr>
        <w:pStyle w:val="TSB-Level1Numbers"/>
        <w:jc w:val="both"/>
      </w:pPr>
      <w:r>
        <w:t xml:space="preserve">All staff members at the </w:t>
      </w:r>
      <w:r w:rsidR="004440B0">
        <w:t xml:space="preserve">School will undergo training </w:t>
      </w:r>
      <w:r>
        <w:t>to ensure they are up-to-date with the relationship education programme.</w:t>
      </w:r>
    </w:p>
    <w:p w:rsidR="00F64AED" w:rsidRDefault="00432D34" w:rsidP="003B55E8">
      <w:pPr>
        <w:pStyle w:val="TSB-Level1Numbers"/>
        <w:jc w:val="both"/>
      </w:pPr>
      <w:r>
        <w:t>Training of staff will also be scheduled around any updated guidance on the programme</w:t>
      </w:r>
      <w:r w:rsidR="00F64AED">
        <w:t xml:space="preserve"> and </w:t>
      </w:r>
      <w:r w:rsidR="00F72C16">
        <w:t xml:space="preserve">any </w:t>
      </w:r>
      <w:r w:rsidR="00F64AED">
        <w:t xml:space="preserve">new </w:t>
      </w:r>
      <w:r w:rsidR="00417F34">
        <w:t xml:space="preserve">developments, such as ‘sexting’, </w:t>
      </w:r>
      <w:r w:rsidR="00F72C16">
        <w:t>which may need to be addressed in relation to the programme.</w:t>
      </w:r>
    </w:p>
    <w:p w:rsidR="00C55242" w:rsidRDefault="00C55242" w:rsidP="003B55E8">
      <w:pPr>
        <w:pStyle w:val="TSB-Level1Numbers"/>
        <w:jc w:val="both"/>
      </w:pPr>
      <w:r>
        <w:t>Training of staff may be online (Online Safety Hub or Zoom / Teams) or face to face.</w:t>
      </w:r>
    </w:p>
    <w:p w:rsidR="00C55242" w:rsidRDefault="00C55242" w:rsidP="003B55E8">
      <w:pPr>
        <w:pStyle w:val="TSB-Level1Numbers"/>
        <w:jc w:val="both"/>
      </w:pPr>
      <w:r>
        <w:t>The PSHE</w:t>
      </w:r>
      <w:r w:rsidR="00BE074E">
        <w:t xml:space="preserve"> co-ordinator</w:t>
      </w:r>
      <w:r>
        <w:t xml:space="preserve"> will attend </w:t>
      </w:r>
      <w:r w:rsidR="00BE074E">
        <w:t xml:space="preserve">Trust and Tameside </w:t>
      </w:r>
      <w:r>
        <w:t xml:space="preserve">network meetings and relevant training to keep updated on new initiatives, support and guidance. </w:t>
      </w:r>
    </w:p>
    <w:p w:rsidR="00F72C16" w:rsidRDefault="0002379C" w:rsidP="003B55E8">
      <w:pPr>
        <w:pStyle w:val="Heading10"/>
        <w:jc w:val="both"/>
        <w:rPr>
          <w:b/>
        </w:rPr>
      </w:pPr>
      <w:bookmarkStart w:id="17" w:name="H"/>
      <w:r>
        <w:rPr>
          <w:b/>
        </w:rPr>
        <w:t>Delivery</w:t>
      </w:r>
      <w:r w:rsidR="00F72C16" w:rsidRPr="00F72C16">
        <w:rPr>
          <w:b/>
        </w:rPr>
        <w:t xml:space="preserve"> </w:t>
      </w:r>
      <w:r w:rsidR="004951AA">
        <w:rPr>
          <w:b/>
        </w:rPr>
        <w:t xml:space="preserve">of </w:t>
      </w:r>
      <w:r w:rsidR="003C28EF">
        <w:rPr>
          <w:b/>
        </w:rPr>
        <w:t>the programme</w:t>
      </w:r>
    </w:p>
    <w:bookmarkEnd w:id="17"/>
    <w:p w:rsidR="00120214" w:rsidRDefault="00120214" w:rsidP="003B55E8">
      <w:pPr>
        <w:pStyle w:val="TSB-Level1Numbers"/>
        <w:jc w:val="both"/>
      </w:pPr>
      <w:r>
        <w:t xml:space="preserve">Holden Clough Community Primary school will follow the </w:t>
      </w:r>
      <w:r w:rsidR="00A3145F">
        <w:t>Dimensions 3D</w:t>
      </w:r>
      <w:r>
        <w:t xml:space="preserve"> PSHE scheme as well as some lessons from the Tameside RE scheme of work</w:t>
      </w:r>
      <w:r w:rsidR="00A3145F">
        <w:t xml:space="preserve"> if needed</w:t>
      </w:r>
      <w:r>
        <w:t>.</w:t>
      </w:r>
    </w:p>
    <w:p w:rsidR="00F72C16" w:rsidRDefault="00F94029" w:rsidP="003B55E8">
      <w:pPr>
        <w:pStyle w:val="TSB-Level1Numbers"/>
        <w:jc w:val="both"/>
      </w:pPr>
      <w:r>
        <w:t>C</w:t>
      </w:r>
      <w:r w:rsidR="003C28EF">
        <w:t xml:space="preserve">lasses may be taught in gender-segregated </w:t>
      </w:r>
      <w:r>
        <w:t>groups</w:t>
      </w:r>
      <w:r w:rsidR="003C28EF">
        <w:t xml:space="preserve"> dependent upon the nature of the topic being delivered at</w:t>
      </w:r>
      <w:r>
        <w:t xml:space="preserve"> the time, and the cultural background of pupils where it is only appropriate to discuss the body in single gender groups.</w:t>
      </w:r>
    </w:p>
    <w:p w:rsidR="003C28EF" w:rsidRDefault="003C28EF" w:rsidP="003B55E8">
      <w:pPr>
        <w:pStyle w:val="TSB-Level1Numbers"/>
        <w:jc w:val="both"/>
      </w:pPr>
      <w:r>
        <w:lastRenderedPageBreak/>
        <w:t>Throughout every year group, appropriate diagrams, videos, books, games, discussion and practical activities will be used to assist learning.</w:t>
      </w:r>
    </w:p>
    <w:p w:rsidR="003C28EF" w:rsidRDefault="003C28EF" w:rsidP="003B55E8">
      <w:pPr>
        <w:pStyle w:val="TSB-Level1Numbers"/>
        <w:jc w:val="both"/>
      </w:pPr>
      <w:r>
        <w:t>Inappropriate images, videos, etc. will not be used, and resources will be selected with sensitivity</w:t>
      </w:r>
      <w:r w:rsidR="000A0675">
        <w:t xml:space="preserve"> given</w:t>
      </w:r>
      <w:r>
        <w:t xml:space="preserve"> to the age and cultural background of pupils.</w:t>
      </w:r>
    </w:p>
    <w:p w:rsidR="003C28EF" w:rsidRPr="004440B0" w:rsidRDefault="003C28EF" w:rsidP="003B55E8">
      <w:pPr>
        <w:pStyle w:val="TSB-Level1Numbers"/>
        <w:jc w:val="both"/>
      </w:pPr>
      <w:r>
        <w:t xml:space="preserve">Pupils will be prevented from accessing inappropriate materials on the internet when using such to assist with their learning. The prevention measures taken </w:t>
      </w:r>
      <w:r w:rsidR="006E716B">
        <w:t>to ensure this</w:t>
      </w:r>
      <w:r w:rsidR="009B63A3">
        <w:t xml:space="preserve">, </w:t>
      </w:r>
      <w:r>
        <w:t>are outlined in the</w:t>
      </w:r>
      <w:r w:rsidR="004440B0">
        <w:t xml:space="preserve"> School</w:t>
      </w:r>
      <w:r>
        <w:t xml:space="preserve">’s </w:t>
      </w:r>
      <w:r w:rsidRPr="004440B0">
        <w:t>E-safety Policy</w:t>
      </w:r>
      <w:r w:rsidR="00355D66" w:rsidRPr="004440B0">
        <w:t>, and Acceptable Terms of Use Agreement.</w:t>
      </w:r>
      <w:r w:rsidR="009804BA" w:rsidRPr="004440B0">
        <w:t xml:space="preserve"> </w:t>
      </w:r>
    </w:p>
    <w:p w:rsidR="003C28EF" w:rsidRDefault="003C28EF" w:rsidP="003B55E8">
      <w:pPr>
        <w:pStyle w:val="TSB-Level1Numbers"/>
        <w:jc w:val="both"/>
      </w:pPr>
      <w:r>
        <w:t>Teachers will establish what is appropriate for one-to-one and whole-class settings, and alter their teaching of the programme accordingly.</w:t>
      </w:r>
    </w:p>
    <w:p w:rsidR="004951AA" w:rsidRDefault="004951AA" w:rsidP="003B55E8">
      <w:pPr>
        <w:pStyle w:val="TSB-Level1Numbers"/>
        <w:jc w:val="both"/>
      </w:pPr>
      <w:r>
        <w:t>Teachers will ensure that pupils’ views are listened to and will encourage them to ask questions and engage in discussion. Teachers will answer questions sensitively and honestly.</w:t>
      </w:r>
    </w:p>
    <w:p w:rsidR="004951AA" w:rsidRDefault="004951AA" w:rsidP="003B55E8">
      <w:pPr>
        <w:pStyle w:val="TSB-Level1Numbers"/>
        <w:jc w:val="both"/>
      </w:pPr>
      <w:r>
        <w:t xml:space="preserve">Teachers will focus heavily on the importance of </w:t>
      </w:r>
      <w:r w:rsidR="00355D66">
        <w:t>healthy</w:t>
      </w:r>
      <w:r>
        <w:t xml:space="preserve"> relationships</w:t>
      </w:r>
      <w:r w:rsidR="009B63A3" w:rsidRPr="009B63A3">
        <w:t xml:space="preserve"> </w:t>
      </w:r>
      <w:r w:rsidR="009B63A3">
        <w:t>and marriage</w:t>
      </w:r>
      <w:r>
        <w:t>, though sensitivity will always be given as to not stigmatise pupils on the basis of their home circumstances.</w:t>
      </w:r>
    </w:p>
    <w:p w:rsidR="004951AA" w:rsidRDefault="004951AA" w:rsidP="003B55E8">
      <w:pPr>
        <w:pStyle w:val="TSB-Level1Numbers"/>
        <w:jc w:val="both"/>
      </w:pPr>
      <w:r>
        <w:t xml:space="preserve">The </w:t>
      </w:r>
      <w:r w:rsidR="004440B0">
        <w:t xml:space="preserve">school </w:t>
      </w:r>
      <w:r>
        <w:t xml:space="preserve">understands that pupils with special </w:t>
      </w:r>
      <w:r w:rsidR="006E716B">
        <w:t>education needs and disabilities</w:t>
      </w:r>
      <w:r>
        <w:t xml:space="preserve"> (SEND) are entitled to learn about sex and relationship education, and the programme will be designed to be inclusive of all pupils. </w:t>
      </w:r>
    </w:p>
    <w:p w:rsidR="001F0886" w:rsidRDefault="004951AA" w:rsidP="003B55E8">
      <w:pPr>
        <w:pStyle w:val="TSB-Level1Numbers"/>
        <w:jc w:val="both"/>
      </w:pPr>
      <w:r>
        <w:t xml:space="preserve">Teachers will understand </w:t>
      </w:r>
      <w:r w:rsidR="00001A46">
        <w:t xml:space="preserve">that </w:t>
      </w:r>
      <w:r>
        <w:t xml:space="preserve">they may need to be more explicit and adapt their planning of work in order to </w:t>
      </w:r>
      <w:r w:rsidR="00355D66">
        <w:t xml:space="preserve">appropriately </w:t>
      </w:r>
      <w:r>
        <w:t>deliver the programme to pupils with SEND.</w:t>
      </w:r>
    </w:p>
    <w:p w:rsidR="006E716B" w:rsidRDefault="006E716B" w:rsidP="003B55E8">
      <w:pPr>
        <w:pStyle w:val="TSB-Level1Numbers"/>
        <w:jc w:val="both"/>
      </w:pPr>
      <w:r>
        <w:t>At all points of delivery of this programme</w:t>
      </w:r>
      <w:r w:rsidR="009302B7">
        <w:t>,</w:t>
      </w:r>
      <w:r>
        <w:t xml:space="preserve"> parents/</w:t>
      </w:r>
      <w:r w:rsidR="00355D66">
        <w:t>carers</w:t>
      </w:r>
      <w:r>
        <w:t xml:space="preserve"> will be consulted and their views will be valued. What will be taught and </w:t>
      </w:r>
      <w:r w:rsidR="00BE074E">
        <w:t xml:space="preserve">when will be shared on class newsletters and Dojo. Content may also be sent home via Dojo so parents/carers are </w:t>
      </w:r>
      <w:r w:rsidR="00043C14">
        <w:t>aware of the learning taking place.</w:t>
      </w:r>
    </w:p>
    <w:p w:rsidR="00611CBC" w:rsidRDefault="006E716B" w:rsidP="003B55E8">
      <w:pPr>
        <w:pStyle w:val="TSB-Level1Numbers"/>
        <w:jc w:val="both"/>
      </w:pPr>
      <w:r w:rsidRPr="006E716B">
        <w:t xml:space="preserve">External experts may be invited to assist from time-to-time with the delivery of the relationship education programme, but will be expected to comply with the provisions of this policy. </w:t>
      </w:r>
    </w:p>
    <w:p w:rsidR="0002379C" w:rsidRDefault="0002379C" w:rsidP="003B55E8">
      <w:pPr>
        <w:pStyle w:val="Heading10"/>
        <w:jc w:val="both"/>
        <w:rPr>
          <w:b/>
        </w:rPr>
      </w:pPr>
      <w:bookmarkStart w:id="18" w:name="I"/>
      <w:r w:rsidRPr="0002379C">
        <w:rPr>
          <w:b/>
        </w:rPr>
        <w:t>Working with parents</w:t>
      </w:r>
    </w:p>
    <w:bookmarkEnd w:id="18"/>
    <w:p w:rsidR="0002379C" w:rsidRDefault="003A4236" w:rsidP="003B55E8">
      <w:pPr>
        <w:pStyle w:val="TSB-Level1Numbers"/>
        <w:jc w:val="both"/>
      </w:pPr>
      <w:r>
        <w:t xml:space="preserve">The </w:t>
      </w:r>
      <w:r w:rsidR="004440B0">
        <w:t xml:space="preserve">school </w:t>
      </w:r>
      <w:r>
        <w:t>understands that the teaching of some aspects of the programme may be of concern to parents/</w:t>
      </w:r>
      <w:r w:rsidR="00355D66">
        <w:t>carers</w:t>
      </w:r>
      <w:r>
        <w:t>.</w:t>
      </w:r>
    </w:p>
    <w:p w:rsidR="003A4236" w:rsidRDefault="003A4236" w:rsidP="003B55E8">
      <w:pPr>
        <w:pStyle w:val="TSB-Level1Numbers"/>
        <w:jc w:val="both"/>
      </w:pPr>
      <w:r>
        <w:t xml:space="preserve">The </w:t>
      </w:r>
      <w:r w:rsidR="004440B0">
        <w:t xml:space="preserve">school </w:t>
      </w:r>
      <w:r>
        <w:t>will ensure that no teachers express their personal views or beliefs when delivering the programme.</w:t>
      </w:r>
    </w:p>
    <w:p w:rsidR="005A0899" w:rsidRDefault="003A4236" w:rsidP="003B55E8">
      <w:pPr>
        <w:pStyle w:val="TSB-Level1Numbers"/>
        <w:jc w:val="both"/>
      </w:pPr>
      <w:r>
        <w:t>Parents/</w:t>
      </w:r>
      <w:r w:rsidR="00355D66">
        <w:t>carers</w:t>
      </w:r>
      <w:r>
        <w:t xml:space="preserve"> will be consulted </w:t>
      </w:r>
      <w:r w:rsidR="00120214">
        <w:t xml:space="preserve">about </w:t>
      </w:r>
      <w:r w:rsidR="005A0899">
        <w:t xml:space="preserve">this policy and curriculum </w:t>
      </w:r>
      <w:r w:rsidR="00120214">
        <w:t>content through</w:t>
      </w:r>
      <w:r w:rsidR="005A0899">
        <w:t xml:space="preserve"> parent meetings, working parties</w:t>
      </w:r>
      <w:r w:rsidR="00043C14">
        <w:t xml:space="preserve"> to discuss changes</w:t>
      </w:r>
      <w:r w:rsidR="005A0899">
        <w:t xml:space="preserve"> and</w:t>
      </w:r>
      <w:r w:rsidR="00120214">
        <w:t xml:space="preserve"> half termly newsletters</w:t>
      </w:r>
      <w:r w:rsidR="00043C14">
        <w:t>.</w:t>
      </w:r>
    </w:p>
    <w:p w:rsidR="00045BFE" w:rsidRDefault="003A4236" w:rsidP="003B55E8">
      <w:pPr>
        <w:pStyle w:val="TSB-Level1Numbers"/>
        <w:jc w:val="both"/>
      </w:pPr>
      <w:r>
        <w:lastRenderedPageBreak/>
        <w:t xml:space="preserve">The </w:t>
      </w:r>
      <w:r w:rsidR="004440B0">
        <w:t xml:space="preserve">school </w:t>
      </w:r>
      <w:r>
        <w:t xml:space="preserve">respects </w:t>
      </w:r>
      <w:r w:rsidR="00C560CE">
        <w:t>the legal right of parents/</w:t>
      </w:r>
      <w:r w:rsidR="00355D66">
        <w:t>carer</w:t>
      </w:r>
      <w:r w:rsidR="00C560CE">
        <w:t xml:space="preserve">s to </w:t>
      </w:r>
      <w:r>
        <w:t xml:space="preserve">withdraw their child from all or part of the relationship education programme, except for those </w:t>
      </w:r>
      <w:r w:rsidR="00045BFE">
        <w:t xml:space="preserve">statutory </w:t>
      </w:r>
      <w:r>
        <w:t>parts included in the science</w:t>
      </w:r>
      <w:r w:rsidR="00C560CE">
        <w:t xml:space="preserve"> national curriculum. </w:t>
      </w:r>
    </w:p>
    <w:p w:rsidR="00045BFE" w:rsidRPr="006E716B" w:rsidRDefault="00045BFE" w:rsidP="003B55E8">
      <w:pPr>
        <w:pStyle w:val="TSB-Level1Numbers"/>
        <w:jc w:val="both"/>
      </w:pPr>
      <w:r>
        <w:t xml:space="preserve">A list of the statutory topics included in the science national curriculum at </w:t>
      </w:r>
      <w:r w:rsidR="00AB2B41">
        <w:t xml:space="preserve">the </w:t>
      </w:r>
      <w:r>
        <w:t xml:space="preserve">different key stages, </w:t>
      </w:r>
      <w:r w:rsidR="00C560CE">
        <w:t xml:space="preserve">can be found in </w:t>
      </w:r>
      <w:hyperlink w:anchor="O" w:history="1">
        <w:r w:rsidR="00C560CE" w:rsidRPr="00AB2B41">
          <w:rPr>
            <w:rStyle w:val="Hyperlink"/>
          </w:rPr>
          <w:t>Appendix 2 – Science national curriculum.</w:t>
        </w:r>
      </w:hyperlink>
    </w:p>
    <w:p w:rsidR="005A72F8" w:rsidRDefault="005A72F8" w:rsidP="003B55E8">
      <w:pPr>
        <w:pStyle w:val="Heading10"/>
        <w:jc w:val="both"/>
        <w:rPr>
          <w:b/>
        </w:rPr>
      </w:pPr>
      <w:bookmarkStart w:id="19" w:name="J"/>
      <w:r>
        <w:rPr>
          <w:b/>
        </w:rPr>
        <w:t>Equal opportunities</w:t>
      </w:r>
    </w:p>
    <w:bookmarkEnd w:id="19"/>
    <w:p w:rsidR="005A72F8" w:rsidRDefault="005A72F8" w:rsidP="003B55E8">
      <w:pPr>
        <w:pStyle w:val="TSB-Level1Numbers"/>
        <w:jc w:val="both"/>
      </w:pPr>
      <w:r>
        <w:t xml:space="preserve">The </w:t>
      </w:r>
      <w:r w:rsidR="004440B0">
        <w:t xml:space="preserve">school </w:t>
      </w:r>
      <w:r>
        <w:t>understands and abides by The Equality Act 2010, and fully respects the rights of pupils and staff members, regardless of any protected characteristics that he/she may have.</w:t>
      </w:r>
    </w:p>
    <w:p w:rsidR="004951AA" w:rsidRPr="004951AA" w:rsidRDefault="005A72F8" w:rsidP="003B55E8">
      <w:pPr>
        <w:pStyle w:val="TSB-Level1Numbers"/>
        <w:jc w:val="both"/>
      </w:pPr>
      <w:r>
        <w:t xml:space="preserve">The </w:t>
      </w:r>
      <w:r w:rsidR="004440B0">
        <w:t xml:space="preserve">school </w:t>
      </w:r>
      <w:r w:rsidR="00355D66">
        <w:t xml:space="preserve">is dedicated </w:t>
      </w:r>
      <w:r>
        <w:t>to delivering the sex and relationship education programme with sensit</w:t>
      </w:r>
      <w:r w:rsidR="00886EFD">
        <w:t>ivity and respect, avoiding any</w:t>
      </w:r>
      <w:r>
        <w:t xml:space="preserve"> </w:t>
      </w:r>
      <w:r w:rsidR="003B55E8">
        <w:t xml:space="preserve">derogatory </w:t>
      </w:r>
      <w:r w:rsidR="00082C0E">
        <w:t>or</w:t>
      </w:r>
      <w:r w:rsidR="003B55E8">
        <w:t xml:space="preserve"> </w:t>
      </w:r>
      <w:r>
        <w:t>prejudicial terms which may cause o</w:t>
      </w:r>
      <w:r w:rsidR="00355D66">
        <w:t>ffenc</w:t>
      </w:r>
      <w:r>
        <w:t>e.</w:t>
      </w:r>
      <w:r w:rsidR="00926A67">
        <w:t xml:space="preserve"> </w:t>
      </w:r>
    </w:p>
    <w:p w:rsidR="001F0886" w:rsidRDefault="001F0886" w:rsidP="003B55E8">
      <w:pPr>
        <w:pStyle w:val="Heading10"/>
        <w:jc w:val="both"/>
        <w:rPr>
          <w:b/>
        </w:rPr>
      </w:pPr>
      <w:bookmarkStart w:id="20" w:name="K"/>
      <w:r w:rsidRPr="001F0886">
        <w:rPr>
          <w:b/>
        </w:rPr>
        <w:t>Confidentiality</w:t>
      </w:r>
    </w:p>
    <w:bookmarkEnd w:id="20"/>
    <w:p w:rsidR="001F0886" w:rsidRDefault="001F0886" w:rsidP="003B55E8">
      <w:pPr>
        <w:pStyle w:val="TSB-Level1Numbers"/>
        <w:jc w:val="both"/>
      </w:pPr>
      <w:r w:rsidRPr="00FF5980">
        <w:t>Confidentiality within the classroom is an important component of relationship education</w:t>
      </w:r>
      <w:r w:rsidR="00355D66">
        <w:t xml:space="preserve">, </w:t>
      </w:r>
      <w:r w:rsidRPr="00FF5980">
        <w:t xml:space="preserve">and teachers </w:t>
      </w:r>
      <w:r>
        <w:t>are</w:t>
      </w:r>
      <w:r w:rsidRPr="00FF5980">
        <w:t xml:space="preserve"> expected to respect the confidentiality of their pupils as far as is possible.</w:t>
      </w:r>
    </w:p>
    <w:p w:rsidR="004951AA" w:rsidRPr="004440B0" w:rsidRDefault="001F0886" w:rsidP="003B55E8">
      <w:pPr>
        <w:pStyle w:val="TSB-Level1Numbers"/>
        <w:jc w:val="both"/>
      </w:pPr>
      <w:r w:rsidRPr="00FF5980">
        <w:t xml:space="preserve">Teachers </w:t>
      </w:r>
      <w:r w:rsidR="00355D66">
        <w:t>must</w:t>
      </w:r>
      <w:r w:rsidRPr="00FF5980">
        <w:t xml:space="preserve">, however, alert the </w:t>
      </w:r>
      <w:r w:rsidR="00043C14">
        <w:t>Safeguarding Lead and H</w:t>
      </w:r>
      <w:r w:rsidRPr="004440B0">
        <w:t>eadteacher a</w:t>
      </w:r>
      <w:r w:rsidRPr="00FF5980">
        <w:t>bout any suspicions of inappropriate behaviour or potential abuse as per</w:t>
      </w:r>
      <w:r w:rsidR="004440B0">
        <w:t xml:space="preserve"> school</w:t>
      </w:r>
      <w:r w:rsidRPr="00FF5980">
        <w:t xml:space="preserve">’s </w:t>
      </w:r>
      <w:r w:rsidRPr="004440B0">
        <w:t xml:space="preserve">Child Protection Policy.   </w:t>
      </w:r>
    </w:p>
    <w:p w:rsidR="005A72F8" w:rsidRPr="005A72F8" w:rsidRDefault="00E440C0" w:rsidP="003B55E8">
      <w:pPr>
        <w:pStyle w:val="Heading10"/>
        <w:jc w:val="both"/>
        <w:rPr>
          <w:b/>
        </w:rPr>
      </w:pPr>
      <w:bookmarkStart w:id="21" w:name="gg"/>
      <w:bookmarkStart w:id="22" w:name="L"/>
      <w:r>
        <w:rPr>
          <w:b/>
        </w:rPr>
        <w:t>Bullying incidents</w:t>
      </w:r>
      <w:r w:rsidR="00223B14">
        <w:rPr>
          <w:b/>
        </w:rPr>
        <w:t xml:space="preserve"> </w:t>
      </w:r>
    </w:p>
    <w:bookmarkEnd w:id="21"/>
    <w:bookmarkEnd w:id="22"/>
    <w:p w:rsidR="00F01532" w:rsidRDefault="00223B14" w:rsidP="003B55E8">
      <w:pPr>
        <w:pStyle w:val="TSB-Level1Numbers"/>
        <w:jc w:val="both"/>
      </w:pPr>
      <w:r>
        <w:t xml:space="preserve">The </w:t>
      </w:r>
      <w:r w:rsidR="004440B0">
        <w:t xml:space="preserve">school </w:t>
      </w:r>
      <w:r>
        <w:t xml:space="preserve">has a zero tolerance approach to bullying. Any bullying incidents caused as a result of the sex and relationship education programme, such as those relating to sexual orientation, will be dealt with as seriously as other bullying incidents within the </w:t>
      </w:r>
      <w:r w:rsidR="004440B0">
        <w:t>school.</w:t>
      </w:r>
    </w:p>
    <w:p w:rsidR="002D0A71" w:rsidRDefault="002D0A71" w:rsidP="003B55E8">
      <w:pPr>
        <w:pStyle w:val="TSB-Level1Numbers"/>
        <w:jc w:val="both"/>
      </w:pPr>
      <w:r>
        <w:t xml:space="preserve">Any occurrence of these incidents should be reported to a member of school staff, who will then </w:t>
      </w:r>
      <w:r w:rsidR="00886EFD">
        <w:t>discipline</w:t>
      </w:r>
      <w:r>
        <w:t xml:space="preserve"> the pupil once he/she is on school premises.</w:t>
      </w:r>
    </w:p>
    <w:p w:rsidR="002D0A71" w:rsidRDefault="002D0A71" w:rsidP="003B55E8">
      <w:pPr>
        <w:pStyle w:val="TSB-Level1Numbers"/>
        <w:jc w:val="both"/>
      </w:pPr>
      <w:r>
        <w:t xml:space="preserve">These incidents will be dealt with following the process in </w:t>
      </w:r>
      <w:r w:rsidRPr="004440B0">
        <w:t>our Anti-bullying</w:t>
      </w:r>
      <w:r w:rsidR="00886EFD" w:rsidRPr="004440B0">
        <w:t xml:space="preserve"> and Harassment</w:t>
      </w:r>
      <w:r w:rsidRPr="004440B0">
        <w:t xml:space="preserve"> Policy. The </w:t>
      </w:r>
      <w:r w:rsidR="00F32AD6" w:rsidRPr="004440B0">
        <w:t>headteacher</w:t>
      </w:r>
      <w:r w:rsidRPr="004440B0">
        <w:t xml:space="preserve"> will decide whether it</w:t>
      </w:r>
      <w:r>
        <w:t xml:space="preserve"> is appropriate to notify the police</w:t>
      </w:r>
      <w:r w:rsidR="00C2668A">
        <w:t xml:space="preserve"> </w:t>
      </w:r>
      <w:r w:rsidR="00C2668A" w:rsidRPr="00CD26E4">
        <w:t>or</w:t>
      </w:r>
      <w:r w:rsidR="00A61CDA">
        <w:t xml:space="preserve"> an </w:t>
      </w:r>
      <w:r w:rsidR="00C2668A" w:rsidRPr="00CD26E4">
        <w:t>anti-social behaviour coordinator in their</w:t>
      </w:r>
      <w:r w:rsidR="00F32AD6">
        <w:t xml:space="preserve"> LA</w:t>
      </w:r>
      <w:r w:rsidR="00C2668A" w:rsidRPr="00CD26E4">
        <w:t xml:space="preserve"> of the action taken against a pupil</w:t>
      </w:r>
      <w:r w:rsidR="00C2668A">
        <w:t xml:space="preserve">. </w:t>
      </w:r>
    </w:p>
    <w:p w:rsidR="0002379C" w:rsidRDefault="0002379C" w:rsidP="003B55E8">
      <w:pPr>
        <w:pStyle w:val="Heading10"/>
        <w:jc w:val="both"/>
        <w:rPr>
          <w:b/>
        </w:rPr>
      </w:pPr>
      <w:bookmarkStart w:id="23" w:name="hh"/>
      <w:bookmarkStart w:id="24" w:name="M"/>
      <w:r w:rsidRPr="0002379C">
        <w:rPr>
          <w:b/>
        </w:rPr>
        <w:t>Monitoring and review</w:t>
      </w:r>
    </w:p>
    <w:bookmarkEnd w:id="23"/>
    <w:bookmarkEnd w:id="24"/>
    <w:p w:rsidR="0002379C" w:rsidRPr="004440B0" w:rsidRDefault="0002379C" w:rsidP="003B55E8">
      <w:pPr>
        <w:pStyle w:val="TSB-Level1Numbers"/>
        <w:jc w:val="both"/>
      </w:pPr>
      <w:r>
        <w:t xml:space="preserve">This policy will be reviewed by the </w:t>
      </w:r>
      <w:r w:rsidRPr="004440B0">
        <w:t>headteacher</w:t>
      </w:r>
      <w:r w:rsidR="00043C14">
        <w:t xml:space="preserve"> </w:t>
      </w:r>
      <w:r w:rsidR="00EC3908" w:rsidRPr="004440B0">
        <w:t>in conjunction with the PSHE coordinator</w:t>
      </w:r>
      <w:r w:rsidRPr="004440B0">
        <w:t xml:space="preserve"> on an annual basis.</w:t>
      </w:r>
    </w:p>
    <w:p w:rsidR="0002379C" w:rsidRPr="004440B0" w:rsidRDefault="0002379C" w:rsidP="003B55E8">
      <w:pPr>
        <w:pStyle w:val="TSB-Level1Numbers"/>
        <w:jc w:val="both"/>
      </w:pPr>
      <w:r>
        <w:t xml:space="preserve">Any changes needed to the policy, including changes to the programme, will be implemented by </w:t>
      </w:r>
      <w:r w:rsidRPr="004440B0">
        <w:t>the headteacher.</w:t>
      </w:r>
    </w:p>
    <w:p w:rsidR="00A81B4E" w:rsidRDefault="0002379C" w:rsidP="00485228">
      <w:pPr>
        <w:pStyle w:val="TSB-Level1Numbers"/>
        <w:jc w:val="both"/>
      </w:pPr>
      <w:r>
        <w:lastRenderedPageBreak/>
        <w:t xml:space="preserve">Any changes to the policy </w:t>
      </w:r>
      <w:r w:rsidR="00886EFD">
        <w:t>will be clearly communicated to</w:t>
      </w:r>
      <w:r>
        <w:t xml:space="preserve"> all members of staff involved in the relationship education programme.</w:t>
      </w:r>
    </w:p>
    <w:p w:rsidR="00A3145F" w:rsidRDefault="00A3145F" w:rsidP="00A3145F">
      <w:pPr>
        <w:pStyle w:val="Heading10"/>
        <w:ind w:left="360" w:hanging="360"/>
        <w:jc w:val="both"/>
      </w:pPr>
    </w:p>
    <w:p w:rsidR="00A3145F" w:rsidRPr="00A3145F" w:rsidRDefault="00A3145F" w:rsidP="00A3145F"/>
    <w:p w:rsidR="005A0899" w:rsidRDefault="005A0899" w:rsidP="00A81B4E">
      <w:pPr>
        <w:pStyle w:val="TSB-PolicyBullets"/>
        <w:numPr>
          <w:ilvl w:val="0"/>
          <w:numId w:val="0"/>
        </w:numPr>
        <w:rPr>
          <w:b/>
          <w:bCs/>
        </w:rPr>
      </w:pPr>
    </w:p>
    <w:p w:rsidR="00A81B4E" w:rsidRPr="00571D13" w:rsidRDefault="00A81B4E" w:rsidP="00571D13">
      <w:pPr>
        <w:pStyle w:val="TSB-PolicyBullets"/>
        <w:numPr>
          <w:ilvl w:val="0"/>
          <w:numId w:val="0"/>
        </w:numPr>
        <w:jc w:val="center"/>
        <w:rPr>
          <w:b/>
          <w:bCs/>
          <w:u w:val="single"/>
        </w:rPr>
      </w:pPr>
      <w:r w:rsidRPr="00571D13">
        <w:rPr>
          <w:b/>
          <w:bCs/>
          <w:u w:val="single"/>
        </w:rPr>
        <w:t>Relationship Education at Holden Clough Primary School Primary</w:t>
      </w:r>
    </w:p>
    <w:p w:rsidR="00A81B4E" w:rsidRDefault="00A81B4E" w:rsidP="00A81B4E">
      <w:pPr>
        <w:pStyle w:val="TSB-PolicyBullets"/>
        <w:numPr>
          <w:ilvl w:val="0"/>
          <w:numId w:val="0"/>
        </w:numPr>
        <w:rPr>
          <w:b/>
          <w:bCs/>
        </w:rPr>
      </w:pPr>
    </w:p>
    <w:p w:rsidR="00A81B4E" w:rsidRPr="00A81B4E" w:rsidRDefault="00A81B4E" w:rsidP="00A81B4E">
      <w:pPr>
        <w:pStyle w:val="TSB-PolicyBullets"/>
        <w:numPr>
          <w:ilvl w:val="0"/>
          <w:numId w:val="0"/>
        </w:numPr>
        <w:rPr>
          <w:bCs/>
        </w:rPr>
      </w:pPr>
      <w:r w:rsidRPr="00A81B4E">
        <w:rPr>
          <w:bCs/>
        </w:rPr>
        <w:t>At Holden Clough</w:t>
      </w:r>
      <w:r w:rsidR="00C55242">
        <w:rPr>
          <w:bCs/>
        </w:rPr>
        <w:t>,</w:t>
      </w:r>
      <w:r w:rsidRPr="00A81B4E">
        <w:rPr>
          <w:bCs/>
        </w:rPr>
        <w:t xml:space="preserve"> we follow the </w:t>
      </w:r>
      <w:r w:rsidR="00A3145F">
        <w:rPr>
          <w:bCs/>
        </w:rPr>
        <w:t>Dimensions 3D</w:t>
      </w:r>
      <w:r w:rsidRPr="00A81B4E">
        <w:rPr>
          <w:bCs/>
        </w:rPr>
        <w:t xml:space="preserve"> PSHE scheme a</w:t>
      </w:r>
      <w:r w:rsidR="00C55242">
        <w:rPr>
          <w:bCs/>
        </w:rPr>
        <w:t>nd</w:t>
      </w:r>
      <w:r w:rsidRPr="00A81B4E">
        <w:rPr>
          <w:bCs/>
        </w:rPr>
        <w:t xml:space="preserve"> </w:t>
      </w:r>
      <w:r w:rsidR="00C55242" w:rsidRPr="00A81B4E">
        <w:rPr>
          <w:bCs/>
        </w:rPr>
        <w:t>the Tameside</w:t>
      </w:r>
      <w:r w:rsidRPr="00A81B4E">
        <w:rPr>
          <w:bCs/>
        </w:rPr>
        <w:t xml:space="preserve"> </w:t>
      </w:r>
      <w:r w:rsidR="002975E2">
        <w:rPr>
          <w:bCs/>
        </w:rPr>
        <w:t xml:space="preserve">Sex and Relationship </w:t>
      </w:r>
      <w:r w:rsidRPr="00A81B4E">
        <w:rPr>
          <w:bCs/>
        </w:rPr>
        <w:t>Scheme</w:t>
      </w:r>
      <w:r w:rsidR="00C55242">
        <w:rPr>
          <w:bCs/>
        </w:rPr>
        <w:t xml:space="preserve"> (if needed)</w:t>
      </w:r>
      <w:r w:rsidRPr="00A81B4E">
        <w:rPr>
          <w:bCs/>
        </w:rPr>
        <w:t>.</w:t>
      </w:r>
    </w:p>
    <w:p w:rsidR="00A81B4E" w:rsidRPr="00A81B4E" w:rsidRDefault="00A81B4E" w:rsidP="00A81B4E">
      <w:pPr>
        <w:pStyle w:val="TSB-PolicyBullets"/>
        <w:numPr>
          <w:ilvl w:val="0"/>
          <w:numId w:val="0"/>
        </w:numPr>
      </w:pPr>
      <w:r w:rsidRPr="00A81B4E">
        <w:rPr>
          <w:bCs/>
        </w:rPr>
        <w:t>We cover objectives through a variety of different ways; we may cover them in stand- alone lessons, through theme days and weeks</w:t>
      </w:r>
      <w:r w:rsidR="005A0899">
        <w:rPr>
          <w:bCs/>
        </w:rPr>
        <w:t xml:space="preserve"> such as </w:t>
      </w:r>
      <w:r w:rsidR="00A3145F">
        <w:rPr>
          <w:bCs/>
        </w:rPr>
        <w:t xml:space="preserve">National Diversity Day, </w:t>
      </w:r>
      <w:r w:rsidR="005A0899">
        <w:rPr>
          <w:bCs/>
        </w:rPr>
        <w:t>Anti-Bullying W</w:t>
      </w:r>
      <w:r w:rsidR="002975E2">
        <w:rPr>
          <w:bCs/>
        </w:rPr>
        <w:t>eek</w:t>
      </w:r>
      <w:r w:rsidR="005A0899">
        <w:rPr>
          <w:bCs/>
        </w:rPr>
        <w:t xml:space="preserve"> (Friendship Week), </w:t>
      </w:r>
      <w:r w:rsidR="00A3145F">
        <w:rPr>
          <w:bCs/>
        </w:rPr>
        <w:t xml:space="preserve">Children’s Mental Health Week, </w:t>
      </w:r>
      <w:r w:rsidR="005A0899">
        <w:rPr>
          <w:bCs/>
        </w:rPr>
        <w:t>Diversity Week (Rainbow D</w:t>
      </w:r>
      <w:r w:rsidR="002975E2">
        <w:rPr>
          <w:bCs/>
        </w:rPr>
        <w:t>ay</w:t>
      </w:r>
      <w:r w:rsidR="005A0899">
        <w:rPr>
          <w:bCs/>
        </w:rPr>
        <w:t>), Internet Safety D</w:t>
      </w:r>
      <w:r w:rsidR="002975E2">
        <w:rPr>
          <w:bCs/>
        </w:rPr>
        <w:t xml:space="preserve">ay / </w:t>
      </w:r>
      <w:r w:rsidR="00C55242">
        <w:rPr>
          <w:bCs/>
        </w:rPr>
        <w:t>W</w:t>
      </w:r>
      <w:r w:rsidR="002975E2">
        <w:rPr>
          <w:bCs/>
        </w:rPr>
        <w:t>eek</w:t>
      </w:r>
      <w:r w:rsidR="00C55242">
        <w:rPr>
          <w:bCs/>
        </w:rPr>
        <w:t xml:space="preserve"> and </w:t>
      </w:r>
      <w:r w:rsidR="005A0899">
        <w:rPr>
          <w:bCs/>
        </w:rPr>
        <w:t xml:space="preserve">Health Week as well as </w:t>
      </w:r>
      <w:r w:rsidRPr="00A81B4E">
        <w:rPr>
          <w:bCs/>
        </w:rPr>
        <w:t>through the Science curriculum or PSHE lessons.</w:t>
      </w:r>
      <w:r w:rsidR="00C55242">
        <w:rPr>
          <w:bCs/>
        </w:rPr>
        <w:t xml:space="preserve"> External agencies may also be used to deliver lessons.</w:t>
      </w:r>
    </w:p>
    <w:p w:rsidR="00A81B4E" w:rsidRDefault="00A81B4E" w:rsidP="00A81B4E">
      <w:pPr>
        <w:pStyle w:val="TSB-PolicyBullets"/>
        <w:numPr>
          <w:ilvl w:val="0"/>
          <w:numId w:val="0"/>
        </w:numPr>
      </w:pPr>
      <w:r w:rsidRPr="00A81B4E">
        <w:t xml:space="preserve">The outline below shows </w:t>
      </w:r>
      <w:r>
        <w:t>an overview of where the lessons</w:t>
      </w:r>
      <w:r w:rsidRPr="00A81B4E">
        <w:t xml:space="preserve"> are covered and how they build on the previous year.</w:t>
      </w:r>
    </w:p>
    <w:p w:rsidR="00A81B4E" w:rsidRDefault="00A81B4E" w:rsidP="00A81B4E">
      <w:pPr>
        <w:pStyle w:val="TSB-PolicyBullets"/>
        <w:numPr>
          <w:ilvl w:val="0"/>
          <w:numId w:val="0"/>
        </w:numPr>
      </w:pPr>
    </w:p>
    <w:p w:rsidR="00A81B4E" w:rsidRDefault="00A81B4E" w:rsidP="00A81B4E">
      <w:pPr>
        <w:pStyle w:val="TSB-PolicyBullets"/>
        <w:numPr>
          <w:ilvl w:val="0"/>
          <w:numId w:val="0"/>
        </w:numPr>
      </w:pPr>
    </w:p>
    <w:tbl>
      <w:tblPr>
        <w:tblStyle w:val="TableGrid"/>
        <w:tblW w:w="0" w:type="auto"/>
        <w:tblLook w:val="04A0" w:firstRow="1" w:lastRow="0" w:firstColumn="1" w:lastColumn="0" w:noHBand="0" w:noVBand="1"/>
      </w:tblPr>
      <w:tblGrid>
        <w:gridCol w:w="5920"/>
      </w:tblGrid>
      <w:tr w:rsidR="00A81B4E" w:rsidTr="00571D13">
        <w:tc>
          <w:tcPr>
            <w:tcW w:w="5920" w:type="dxa"/>
            <w:shd w:val="clear" w:color="auto" w:fill="00FFCC"/>
          </w:tcPr>
          <w:p w:rsidR="00A81B4E" w:rsidRDefault="00A81B4E" w:rsidP="00571D13">
            <w:pPr>
              <w:pStyle w:val="TSB-PolicyBullets"/>
              <w:numPr>
                <w:ilvl w:val="0"/>
                <w:numId w:val="0"/>
              </w:numPr>
              <w:jc w:val="center"/>
            </w:pPr>
            <w:r>
              <w:t>Year 1</w:t>
            </w:r>
          </w:p>
          <w:p w:rsidR="00A81B4E" w:rsidRDefault="00A81B4E" w:rsidP="00A81B4E">
            <w:pPr>
              <w:pStyle w:val="TSB-PolicyBullets"/>
              <w:numPr>
                <w:ilvl w:val="0"/>
                <w:numId w:val="0"/>
              </w:numPr>
            </w:pPr>
          </w:p>
        </w:tc>
      </w:tr>
      <w:tr w:rsidR="00A81B4E" w:rsidTr="00571D13">
        <w:tc>
          <w:tcPr>
            <w:tcW w:w="5920" w:type="dxa"/>
          </w:tcPr>
          <w:p w:rsidR="00A81B4E" w:rsidRDefault="00A81B4E" w:rsidP="00A81B4E">
            <w:pPr>
              <w:pStyle w:val="TSB-PolicyBullets"/>
              <w:numPr>
                <w:ilvl w:val="0"/>
                <w:numId w:val="0"/>
              </w:numPr>
            </w:pPr>
            <w:r>
              <w:t>People who care for me</w:t>
            </w:r>
            <w:r w:rsidR="008E7036">
              <w:t xml:space="preserve"> / Love Support / Care</w:t>
            </w:r>
            <w:r w:rsidR="00571D13">
              <w:t xml:space="preserve"> (my family)</w:t>
            </w:r>
          </w:p>
        </w:tc>
      </w:tr>
      <w:tr w:rsidR="00A81B4E" w:rsidTr="00571D13">
        <w:tc>
          <w:tcPr>
            <w:tcW w:w="5920" w:type="dxa"/>
          </w:tcPr>
          <w:p w:rsidR="00A81B4E" w:rsidRDefault="0052609A" w:rsidP="00A81B4E">
            <w:pPr>
              <w:pStyle w:val="TSB-PolicyBullets"/>
              <w:numPr>
                <w:ilvl w:val="0"/>
                <w:numId w:val="0"/>
              </w:numPr>
            </w:pPr>
            <w:r>
              <w:t>Body parts (name)</w:t>
            </w:r>
          </w:p>
        </w:tc>
      </w:tr>
      <w:tr w:rsidR="00A81B4E" w:rsidTr="00571D13">
        <w:tc>
          <w:tcPr>
            <w:tcW w:w="5920" w:type="dxa"/>
          </w:tcPr>
          <w:p w:rsidR="00A81B4E" w:rsidRDefault="00A81B4E" w:rsidP="00A81B4E">
            <w:pPr>
              <w:pStyle w:val="TSB-PolicyBullets"/>
              <w:numPr>
                <w:ilvl w:val="0"/>
                <w:numId w:val="0"/>
              </w:numPr>
            </w:pPr>
            <w:r>
              <w:t>Special people in our community</w:t>
            </w:r>
          </w:p>
        </w:tc>
      </w:tr>
      <w:tr w:rsidR="00D251E5" w:rsidTr="00571D13">
        <w:tc>
          <w:tcPr>
            <w:tcW w:w="5920" w:type="dxa"/>
          </w:tcPr>
          <w:p w:rsidR="00D251E5" w:rsidRDefault="00D251E5" w:rsidP="00A81B4E">
            <w:pPr>
              <w:pStyle w:val="TSB-PolicyBullets"/>
              <w:numPr>
                <w:ilvl w:val="0"/>
                <w:numId w:val="0"/>
              </w:numPr>
            </w:pPr>
            <w:r>
              <w:t>Different relationships / positive relationships</w:t>
            </w:r>
          </w:p>
        </w:tc>
      </w:tr>
      <w:tr w:rsidR="00A81B4E" w:rsidTr="00571D13">
        <w:tc>
          <w:tcPr>
            <w:tcW w:w="5920" w:type="dxa"/>
          </w:tcPr>
          <w:p w:rsidR="00A81B4E" w:rsidRDefault="00A81B4E" w:rsidP="00A81B4E">
            <w:pPr>
              <w:pStyle w:val="TSB-PolicyBullets"/>
              <w:numPr>
                <w:ilvl w:val="0"/>
                <w:numId w:val="0"/>
              </w:numPr>
            </w:pPr>
            <w:r>
              <w:t>My special people</w:t>
            </w:r>
            <w:r w:rsidR="0052609A">
              <w:t xml:space="preserve"> </w:t>
            </w:r>
            <w:r w:rsidR="007A5742">
              <w:t>/ Family</w:t>
            </w:r>
            <w:r w:rsidR="008E7036">
              <w:t xml:space="preserve"> and friends</w:t>
            </w:r>
          </w:p>
        </w:tc>
      </w:tr>
      <w:tr w:rsidR="00A81B4E" w:rsidTr="00571D13">
        <w:tc>
          <w:tcPr>
            <w:tcW w:w="5920" w:type="dxa"/>
          </w:tcPr>
          <w:p w:rsidR="00A81B4E" w:rsidRDefault="00D251E5" w:rsidP="00A81B4E">
            <w:pPr>
              <w:pStyle w:val="TSB-PolicyBullets"/>
              <w:numPr>
                <w:ilvl w:val="0"/>
                <w:numId w:val="0"/>
              </w:numPr>
            </w:pPr>
            <w:r>
              <w:t xml:space="preserve">Characteristics of </w:t>
            </w:r>
            <w:r w:rsidR="0052609A">
              <w:t>Friendship</w:t>
            </w:r>
            <w:r>
              <w:t xml:space="preserve"> (</w:t>
            </w:r>
            <w:r w:rsidR="007A5742">
              <w:t>Kindness, Trust, Courtesy, Manners</w:t>
            </w:r>
            <w:r>
              <w:t>, Respect, Generosity)</w:t>
            </w:r>
          </w:p>
        </w:tc>
      </w:tr>
      <w:tr w:rsidR="00A81B4E" w:rsidTr="00571D13">
        <w:tc>
          <w:tcPr>
            <w:tcW w:w="5920" w:type="dxa"/>
          </w:tcPr>
          <w:p w:rsidR="00A81B4E" w:rsidRDefault="008E7036" w:rsidP="00A81B4E">
            <w:pPr>
              <w:pStyle w:val="TSB-PolicyBullets"/>
              <w:numPr>
                <w:ilvl w:val="0"/>
                <w:numId w:val="0"/>
              </w:numPr>
            </w:pPr>
            <w:r>
              <w:t xml:space="preserve">Different types of </w:t>
            </w:r>
            <w:r w:rsidR="0052609A">
              <w:t>bullying</w:t>
            </w:r>
            <w:r>
              <w:t xml:space="preserve"> / impact on others</w:t>
            </w:r>
          </w:p>
        </w:tc>
      </w:tr>
      <w:tr w:rsidR="0052609A" w:rsidTr="00571D13">
        <w:tc>
          <w:tcPr>
            <w:tcW w:w="5920" w:type="dxa"/>
          </w:tcPr>
          <w:p w:rsidR="0052609A" w:rsidRDefault="00D251E5" w:rsidP="00A81B4E">
            <w:pPr>
              <w:pStyle w:val="TSB-PolicyBullets"/>
              <w:numPr>
                <w:ilvl w:val="0"/>
                <w:numId w:val="0"/>
              </w:numPr>
            </w:pPr>
            <w:r>
              <w:t>Identify and respect similarities and differences</w:t>
            </w:r>
          </w:p>
        </w:tc>
      </w:tr>
      <w:tr w:rsidR="00D251E5" w:rsidTr="00571D13">
        <w:tc>
          <w:tcPr>
            <w:tcW w:w="5920" w:type="dxa"/>
          </w:tcPr>
          <w:p w:rsidR="00D251E5" w:rsidRDefault="00D251E5" w:rsidP="00A81B4E">
            <w:pPr>
              <w:pStyle w:val="TSB-PolicyBullets"/>
              <w:numPr>
                <w:ilvl w:val="0"/>
                <w:numId w:val="0"/>
              </w:numPr>
            </w:pPr>
            <w:r>
              <w:t>Communication/ Feelings / Views</w:t>
            </w:r>
          </w:p>
        </w:tc>
      </w:tr>
      <w:tr w:rsidR="00D251E5" w:rsidTr="00571D13">
        <w:tc>
          <w:tcPr>
            <w:tcW w:w="5920" w:type="dxa"/>
          </w:tcPr>
          <w:p w:rsidR="00D251E5" w:rsidRDefault="00D251E5" w:rsidP="00A81B4E">
            <w:pPr>
              <w:pStyle w:val="TSB-PolicyBullets"/>
              <w:numPr>
                <w:ilvl w:val="0"/>
                <w:numId w:val="0"/>
              </w:numPr>
            </w:pPr>
            <w:r>
              <w:t xml:space="preserve">Fair / </w:t>
            </w:r>
            <w:proofErr w:type="gramStart"/>
            <w:r>
              <w:t>Unfair  Right</w:t>
            </w:r>
            <w:proofErr w:type="gramEnd"/>
            <w:r>
              <w:t xml:space="preserve"> / Wrong</w:t>
            </w:r>
          </w:p>
        </w:tc>
      </w:tr>
      <w:tr w:rsidR="00A81B4E" w:rsidTr="00571D13">
        <w:tc>
          <w:tcPr>
            <w:tcW w:w="5920" w:type="dxa"/>
            <w:shd w:val="clear" w:color="auto" w:fill="00FFCC"/>
          </w:tcPr>
          <w:p w:rsidR="00A81B4E" w:rsidRDefault="00A81B4E" w:rsidP="00571D13">
            <w:pPr>
              <w:pStyle w:val="TSB-PolicyBullets"/>
              <w:numPr>
                <w:ilvl w:val="0"/>
                <w:numId w:val="0"/>
              </w:numPr>
              <w:jc w:val="center"/>
            </w:pPr>
            <w:r>
              <w:t>Year 2</w:t>
            </w:r>
          </w:p>
        </w:tc>
      </w:tr>
      <w:tr w:rsidR="00A81B4E" w:rsidTr="00571D13">
        <w:tc>
          <w:tcPr>
            <w:tcW w:w="5920" w:type="dxa"/>
          </w:tcPr>
          <w:p w:rsidR="00A81B4E" w:rsidRDefault="00A81B4E" w:rsidP="00A81B4E">
            <w:pPr>
              <w:pStyle w:val="TSB-PolicyBullets"/>
              <w:numPr>
                <w:ilvl w:val="0"/>
                <w:numId w:val="0"/>
              </w:numPr>
            </w:pPr>
            <w:r>
              <w:t>Rules for keeping safe</w:t>
            </w:r>
          </w:p>
        </w:tc>
      </w:tr>
      <w:tr w:rsidR="00A81B4E" w:rsidTr="00571D13">
        <w:tc>
          <w:tcPr>
            <w:tcW w:w="5920" w:type="dxa"/>
          </w:tcPr>
          <w:p w:rsidR="00A81B4E" w:rsidRDefault="00A81B4E" w:rsidP="00A81B4E">
            <w:pPr>
              <w:pStyle w:val="TSB-PolicyBullets"/>
              <w:numPr>
                <w:ilvl w:val="0"/>
                <w:numId w:val="0"/>
              </w:numPr>
            </w:pPr>
            <w:r>
              <w:t>Keeping myself and others safe</w:t>
            </w:r>
          </w:p>
        </w:tc>
      </w:tr>
      <w:tr w:rsidR="00A81B4E" w:rsidTr="00571D13">
        <w:tc>
          <w:tcPr>
            <w:tcW w:w="5920" w:type="dxa"/>
          </w:tcPr>
          <w:p w:rsidR="00A81B4E" w:rsidRDefault="00A81B4E" w:rsidP="00A81B4E">
            <w:pPr>
              <w:pStyle w:val="TSB-PolicyBullets"/>
              <w:numPr>
                <w:ilvl w:val="0"/>
                <w:numId w:val="0"/>
              </w:numPr>
            </w:pPr>
            <w:r>
              <w:t>Communities</w:t>
            </w:r>
            <w:r w:rsidR="0052609A">
              <w:t>-different families</w:t>
            </w:r>
          </w:p>
        </w:tc>
      </w:tr>
      <w:tr w:rsidR="00A81B4E" w:rsidTr="00571D13">
        <w:tc>
          <w:tcPr>
            <w:tcW w:w="5920" w:type="dxa"/>
          </w:tcPr>
          <w:p w:rsidR="00A81B4E" w:rsidRDefault="008E7036" w:rsidP="00A81B4E">
            <w:pPr>
              <w:pStyle w:val="TSB-PolicyBullets"/>
              <w:numPr>
                <w:ilvl w:val="0"/>
                <w:numId w:val="0"/>
              </w:numPr>
            </w:pPr>
            <w:r>
              <w:t xml:space="preserve">Communication / </w:t>
            </w:r>
            <w:r w:rsidR="00A81B4E">
              <w:t>Secrets</w:t>
            </w:r>
            <w:r>
              <w:t xml:space="preserve"> / Respecting others viewpoints/ feelings / opinion</w:t>
            </w:r>
          </w:p>
        </w:tc>
      </w:tr>
      <w:tr w:rsidR="00A81B4E" w:rsidTr="00571D13">
        <w:tc>
          <w:tcPr>
            <w:tcW w:w="5920" w:type="dxa"/>
          </w:tcPr>
          <w:p w:rsidR="00A81B4E" w:rsidRDefault="007A5742" w:rsidP="00A81B4E">
            <w:pPr>
              <w:pStyle w:val="TSB-PolicyBullets"/>
              <w:numPr>
                <w:ilvl w:val="0"/>
                <w:numId w:val="0"/>
              </w:numPr>
            </w:pPr>
            <w:r>
              <w:lastRenderedPageBreak/>
              <w:t xml:space="preserve">Friendships / Boundaries / Different types of </w:t>
            </w:r>
            <w:r w:rsidR="0052609A">
              <w:t>Bullying</w:t>
            </w:r>
            <w:r w:rsidR="008E7036">
              <w:t xml:space="preserve"> / Teasing / Seeking help</w:t>
            </w:r>
          </w:p>
        </w:tc>
      </w:tr>
      <w:tr w:rsidR="007A5742" w:rsidTr="00571D13">
        <w:tc>
          <w:tcPr>
            <w:tcW w:w="5920" w:type="dxa"/>
          </w:tcPr>
          <w:p w:rsidR="007A5742" w:rsidRDefault="008E7036" w:rsidP="00A81B4E">
            <w:pPr>
              <w:pStyle w:val="TSB-PolicyBullets"/>
              <w:numPr>
                <w:ilvl w:val="0"/>
                <w:numId w:val="0"/>
              </w:numPr>
            </w:pPr>
            <w:r>
              <w:t>Building upon fair / unfair and right / wrong</w:t>
            </w:r>
          </w:p>
        </w:tc>
      </w:tr>
      <w:tr w:rsidR="0052609A" w:rsidTr="00571D13">
        <w:tc>
          <w:tcPr>
            <w:tcW w:w="5920" w:type="dxa"/>
          </w:tcPr>
          <w:p w:rsidR="0052609A" w:rsidRDefault="0052609A" w:rsidP="00A81B4E">
            <w:pPr>
              <w:pStyle w:val="TSB-PolicyBullets"/>
              <w:numPr>
                <w:ilvl w:val="0"/>
                <w:numId w:val="0"/>
              </w:numPr>
            </w:pPr>
            <w:r>
              <w:t>Image sharing</w:t>
            </w:r>
          </w:p>
        </w:tc>
      </w:tr>
      <w:tr w:rsidR="00A81B4E" w:rsidTr="00571D13">
        <w:tc>
          <w:tcPr>
            <w:tcW w:w="5920" w:type="dxa"/>
          </w:tcPr>
          <w:p w:rsidR="00A81B4E" w:rsidRDefault="00A81B4E" w:rsidP="00A81B4E">
            <w:pPr>
              <w:pStyle w:val="TSB-PolicyBullets"/>
              <w:numPr>
                <w:ilvl w:val="0"/>
                <w:numId w:val="0"/>
              </w:numPr>
            </w:pPr>
            <w:r>
              <w:t>Difference and body parts</w:t>
            </w:r>
          </w:p>
        </w:tc>
      </w:tr>
      <w:tr w:rsidR="009C1ACF" w:rsidTr="00571D13">
        <w:tc>
          <w:tcPr>
            <w:tcW w:w="5920" w:type="dxa"/>
          </w:tcPr>
          <w:p w:rsidR="009C1ACF" w:rsidRDefault="009C1ACF" w:rsidP="00A81B4E">
            <w:pPr>
              <w:pStyle w:val="TSB-PolicyBullets"/>
              <w:numPr>
                <w:ilvl w:val="0"/>
                <w:numId w:val="0"/>
              </w:numPr>
            </w:pPr>
            <w:r>
              <w:t>Life cycle of humans and animals</w:t>
            </w:r>
          </w:p>
        </w:tc>
      </w:tr>
      <w:tr w:rsidR="009C1ACF" w:rsidTr="00571D13">
        <w:tc>
          <w:tcPr>
            <w:tcW w:w="5920" w:type="dxa"/>
          </w:tcPr>
          <w:p w:rsidR="009C1ACF" w:rsidRDefault="009C1ACF" w:rsidP="00A81B4E">
            <w:pPr>
              <w:pStyle w:val="TSB-PolicyBullets"/>
              <w:numPr>
                <w:ilvl w:val="0"/>
                <w:numId w:val="0"/>
              </w:numPr>
            </w:pPr>
          </w:p>
        </w:tc>
      </w:tr>
      <w:tr w:rsidR="009C1ACF" w:rsidTr="00571D13">
        <w:tc>
          <w:tcPr>
            <w:tcW w:w="5920" w:type="dxa"/>
            <w:shd w:val="clear" w:color="auto" w:fill="00FFCC"/>
          </w:tcPr>
          <w:p w:rsidR="009C1ACF" w:rsidRDefault="009C1ACF" w:rsidP="00571D13">
            <w:pPr>
              <w:pStyle w:val="TSB-PolicyBullets"/>
              <w:numPr>
                <w:ilvl w:val="0"/>
                <w:numId w:val="0"/>
              </w:numPr>
              <w:jc w:val="center"/>
            </w:pPr>
            <w:r>
              <w:t>Year 3</w:t>
            </w:r>
          </w:p>
        </w:tc>
      </w:tr>
      <w:tr w:rsidR="009C1ACF" w:rsidTr="00571D13">
        <w:tc>
          <w:tcPr>
            <w:tcW w:w="5920" w:type="dxa"/>
          </w:tcPr>
          <w:p w:rsidR="009C1ACF" w:rsidRDefault="009C1ACF" w:rsidP="00A81B4E">
            <w:pPr>
              <w:pStyle w:val="TSB-PolicyBullets"/>
              <w:numPr>
                <w:ilvl w:val="0"/>
                <w:numId w:val="0"/>
              </w:numPr>
            </w:pPr>
            <w:r>
              <w:t>Feelings</w:t>
            </w:r>
          </w:p>
        </w:tc>
      </w:tr>
      <w:tr w:rsidR="009C1ACF" w:rsidTr="00571D13">
        <w:tc>
          <w:tcPr>
            <w:tcW w:w="5920" w:type="dxa"/>
          </w:tcPr>
          <w:p w:rsidR="009C1ACF" w:rsidRDefault="009C1ACF" w:rsidP="00A81B4E">
            <w:pPr>
              <w:pStyle w:val="TSB-PolicyBullets"/>
              <w:numPr>
                <w:ilvl w:val="0"/>
                <w:numId w:val="0"/>
              </w:numPr>
            </w:pPr>
            <w:r>
              <w:t>Online Safety</w:t>
            </w:r>
            <w:r w:rsidR="0052609A">
              <w:t xml:space="preserve"> (making friends online)</w:t>
            </w:r>
          </w:p>
        </w:tc>
      </w:tr>
      <w:tr w:rsidR="009C1ACF" w:rsidTr="00571D13">
        <w:tc>
          <w:tcPr>
            <w:tcW w:w="5920" w:type="dxa"/>
          </w:tcPr>
          <w:p w:rsidR="009C1ACF" w:rsidRDefault="00571D13" w:rsidP="00A81B4E">
            <w:pPr>
              <w:pStyle w:val="TSB-PolicyBullets"/>
              <w:numPr>
                <w:ilvl w:val="0"/>
                <w:numId w:val="0"/>
              </w:numPr>
            </w:pPr>
            <w:r>
              <w:t>Is it safe?</w:t>
            </w:r>
          </w:p>
        </w:tc>
      </w:tr>
      <w:tr w:rsidR="0052609A" w:rsidTr="00571D13">
        <w:tc>
          <w:tcPr>
            <w:tcW w:w="5920" w:type="dxa"/>
          </w:tcPr>
          <w:p w:rsidR="0052609A" w:rsidRDefault="0052609A" w:rsidP="00A81B4E">
            <w:pPr>
              <w:pStyle w:val="TSB-PolicyBullets"/>
              <w:numPr>
                <w:ilvl w:val="0"/>
                <w:numId w:val="0"/>
              </w:numPr>
            </w:pPr>
            <w:r>
              <w:t>Body language</w:t>
            </w:r>
          </w:p>
        </w:tc>
      </w:tr>
      <w:tr w:rsidR="009C1ACF" w:rsidTr="00571D13">
        <w:tc>
          <w:tcPr>
            <w:tcW w:w="5920" w:type="dxa"/>
          </w:tcPr>
          <w:p w:rsidR="009C1ACF" w:rsidRDefault="009C1ACF" w:rsidP="00A81B4E">
            <w:pPr>
              <w:pStyle w:val="TSB-PolicyBullets"/>
              <w:numPr>
                <w:ilvl w:val="0"/>
                <w:numId w:val="0"/>
              </w:numPr>
            </w:pPr>
            <w:r>
              <w:t>Touch</w:t>
            </w:r>
          </w:p>
        </w:tc>
      </w:tr>
      <w:tr w:rsidR="009C1ACF" w:rsidTr="00571D13">
        <w:tc>
          <w:tcPr>
            <w:tcW w:w="5920" w:type="dxa"/>
          </w:tcPr>
          <w:p w:rsidR="009C1ACF" w:rsidRDefault="009C1ACF" w:rsidP="00A81B4E">
            <w:pPr>
              <w:pStyle w:val="TSB-PolicyBullets"/>
              <w:numPr>
                <w:ilvl w:val="0"/>
                <w:numId w:val="0"/>
              </w:numPr>
            </w:pPr>
            <w:r>
              <w:t>My body</w:t>
            </w:r>
          </w:p>
        </w:tc>
      </w:tr>
      <w:tr w:rsidR="0052609A" w:rsidTr="00571D13">
        <w:tc>
          <w:tcPr>
            <w:tcW w:w="5920" w:type="dxa"/>
          </w:tcPr>
          <w:p w:rsidR="0052609A" w:rsidRDefault="0052609A" w:rsidP="00A81B4E">
            <w:pPr>
              <w:pStyle w:val="TSB-PolicyBullets"/>
              <w:numPr>
                <w:ilvl w:val="0"/>
                <w:numId w:val="0"/>
              </w:numPr>
            </w:pPr>
            <w:r>
              <w:t>Families (respecting differences)</w:t>
            </w:r>
          </w:p>
        </w:tc>
      </w:tr>
      <w:tr w:rsidR="009C1ACF" w:rsidTr="00571D13">
        <w:tc>
          <w:tcPr>
            <w:tcW w:w="5920" w:type="dxa"/>
          </w:tcPr>
          <w:p w:rsidR="009C1ACF" w:rsidRDefault="009C1ACF" w:rsidP="00A81B4E">
            <w:pPr>
              <w:pStyle w:val="TSB-PolicyBullets"/>
              <w:numPr>
                <w:ilvl w:val="0"/>
                <w:numId w:val="0"/>
              </w:numPr>
            </w:pPr>
            <w:r>
              <w:t>Friendships</w:t>
            </w:r>
            <w:r w:rsidR="00B934B3">
              <w:t xml:space="preserve"> / Falling out / Listening</w:t>
            </w:r>
          </w:p>
        </w:tc>
      </w:tr>
      <w:tr w:rsidR="009C1ACF" w:rsidTr="00571D13">
        <w:tc>
          <w:tcPr>
            <w:tcW w:w="5920" w:type="dxa"/>
          </w:tcPr>
          <w:p w:rsidR="009C1ACF" w:rsidRDefault="009C1ACF" w:rsidP="009C1ACF">
            <w:pPr>
              <w:pStyle w:val="TSB-PolicyBullets"/>
              <w:numPr>
                <w:ilvl w:val="0"/>
                <w:numId w:val="0"/>
              </w:numPr>
            </w:pPr>
            <w:r>
              <w:t>Stereotypical ideas (roles / parenting)</w:t>
            </w:r>
          </w:p>
        </w:tc>
      </w:tr>
      <w:tr w:rsidR="009C1ACF" w:rsidTr="00571D13">
        <w:tc>
          <w:tcPr>
            <w:tcW w:w="5920" w:type="dxa"/>
          </w:tcPr>
          <w:p w:rsidR="009C1ACF" w:rsidRDefault="00B934B3" w:rsidP="00A81B4E">
            <w:pPr>
              <w:pStyle w:val="TSB-PolicyBullets"/>
              <w:numPr>
                <w:ilvl w:val="0"/>
                <w:numId w:val="0"/>
              </w:numPr>
            </w:pPr>
            <w:r>
              <w:t>Shared Goals</w:t>
            </w:r>
          </w:p>
        </w:tc>
      </w:tr>
      <w:tr w:rsidR="00B934B3" w:rsidTr="00571D13">
        <w:tc>
          <w:tcPr>
            <w:tcW w:w="5920" w:type="dxa"/>
          </w:tcPr>
          <w:p w:rsidR="00B934B3" w:rsidRDefault="00B934B3" w:rsidP="00A81B4E">
            <w:pPr>
              <w:pStyle w:val="TSB-PolicyBullets"/>
              <w:numPr>
                <w:ilvl w:val="0"/>
                <w:numId w:val="0"/>
              </w:numPr>
            </w:pPr>
            <w:r w:rsidRPr="00B934B3">
              <w:t>Puberty (</w:t>
            </w:r>
            <w:r>
              <w:t>before puberty-</w:t>
            </w:r>
            <w:r w:rsidRPr="00B934B3">
              <w:t>changing in appearance</w:t>
            </w:r>
            <w:r>
              <w:t>-you’ve grown</w:t>
            </w:r>
            <w:r w:rsidRPr="00B934B3">
              <w:t>)</w:t>
            </w:r>
          </w:p>
        </w:tc>
      </w:tr>
      <w:tr w:rsidR="009C1ACF" w:rsidTr="00571D13">
        <w:tc>
          <w:tcPr>
            <w:tcW w:w="5920" w:type="dxa"/>
            <w:shd w:val="clear" w:color="auto" w:fill="00FFCC"/>
          </w:tcPr>
          <w:p w:rsidR="009C1ACF" w:rsidRDefault="009C1ACF" w:rsidP="00571D13">
            <w:pPr>
              <w:pStyle w:val="TSB-PolicyBullets"/>
              <w:numPr>
                <w:ilvl w:val="0"/>
                <w:numId w:val="0"/>
              </w:numPr>
              <w:jc w:val="center"/>
            </w:pPr>
            <w:r>
              <w:t>Year 4</w:t>
            </w:r>
          </w:p>
        </w:tc>
      </w:tr>
      <w:tr w:rsidR="009C1ACF" w:rsidTr="00571D13">
        <w:tc>
          <w:tcPr>
            <w:tcW w:w="5920" w:type="dxa"/>
          </w:tcPr>
          <w:p w:rsidR="009C1ACF" w:rsidRDefault="00571D13" w:rsidP="00A81B4E">
            <w:pPr>
              <w:pStyle w:val="TSB-PolicyBullets"/>
              <w:numPr>
                <w:ilvl w:val="0"/>
                <w:numId w:val="0"/>
              </w:numPr>
            </w:pPr>
            <w:r>
              <w:t>P</w:t>
            </w:r>
            <w:r w:rsidR="009C1ACF">
              <w:t>uberty</w:t>
            </w:r>
            <w:r>
              <w:t xml:space="preserve"> (changing in appearance)</w:t>
            </w:r>
          </w:p>
        </w:tc>
      </w:tr>
      <w:tr w:rsidR="009C1ACF" w:rsidTr="00571D13">
        <w:tc>
          <w:tcPr>
            <w:tcW w:w="5920" w:type="dxa"/>
          </w:tcPr>
          <w:p w:rsidR="009C1ACF" w:rsidRDefault="009C1ACF" w:rsidP="00A81B4E">
            <w:pPr>
              <w:pStyle w:val="TSB-PolicyBullets"/>
              <w:numPr>
                <w:ilvl w:val="0"/>
                <w:numId w:val="0"/>
              </w:numPr>
            </w:pPr>
            <w:r>
              <w:t>Self-image</w:t>
            </w:r>
            <w:r w:rsidR="00B934B3">
              <w:t xml:space="preserve"> / Self Worth</w:t>
            </w:r>
          </w:p>
        </w:tc>
      </w:tr>
      <w:tr w:rsidR="009C1ACF" w:rsidTr="00571D13">
        <w:tc>
          <w:tcPr>
            <w:tcW w:w="5920" w:type="dxa"/>
          </w:tcPr>
          <w:p w:rsidR="009C1ACF" w:rsidRDefault="009C1ACF" w:rsidP="00A81B4E">
            <w:pPr>
              <w:pStyle w:val="TSB-PolicyBullets"/>
              <w:numPr>
                <w:ilvl w:val="0"/>
                <w:numId w:val="0"/>
              </w:numPr>
            </w:pPr>
            <w:r>
              <w:t>Stereotypes</w:t>
            </w:r>
          </w:p>
        </w:tc>
      </w:tr>
      <w:tr w:rsidR="009C1ACF" w:rsidTr="00571D13">
        <w:tc>
          <w:tcPr>
            <w:tcW w:w="5920" w:type="dxa"/>
          </w:tcPr>
          <w:p w:rsidR="009C1ACF" w:rsidRDefault="009C1ACF" w:rsidP="00A81B4E">
            <w:pPr>
              <w:pStyle w:val="TSB-PolicyBullets"/>
              <w:numPr>
                <w:ilvl w:val="0"/>
                <w:numId w:val="0"/>
              </w:numPr>
            </w:pPr>
            <w:r>
              <w:t>Bullying</w:t>
            </w:r>
          </w:p>
        </w:tc>
      </w:tr>
      <w:tr w:rsidR="009C1ACF" w:rsidTr="00571D13">
        <w:tc>
          <w:tcPr>
            <w:tcW w:w="5920" w:type="dxa"/>
          </w:tcPr>
          <w:p w:rsidR="009C1ACF" w:rsidRDefault="009C1ACF" w:rsidP="00A81B4E">
            <w:pPr>
              <w:pStyle w:val="TSB-PolicyBullets"/>
              <w:numPr>
                <w:ilvl w:val="0"/>
                <w:numId w:val="0"/>
              </w:numPr>
            </w:pPr>
            <w:r>
              <w:t>Appropriate  touch</w:t>
            </w:r>
          </w:p>
        </w:tc>
      </w:tr>
      <w:tr w:rsidR="009C1ACF" w:rsidTr="00571D13">
        <w:tc>
          <w:tcPr>
            <w:tcW w:w="5920" w:type="dxa"/>
          </w:tcPr>
          <w:p w:rsidR="009C1ACF" w:rsidRDefault="009C1ACF" w:rsidP="00A81B4E">
            <w:pPr>
              <w:pStyle w:val="TSB-PolicyBullets"/>
              <w:numPr>
                <w:ilvl w:val="0"/>
                <w:numId w:val="0"/>
              </w:numPr>
            </w:pPr>
            <w:r>
              <w:t>Importance of relationships</w:t>
            </w:r>
            <w:r w:rsidR="00B934B3">
              <w:t xml:space="preserve"> / Expressing opinions / Offering advice</w:t>
            </w:r>
          </w:p>
        </w:tc>
      </w:tr>
      <w:tr w:rsidR="009C1ACF" w:rsidTr="00571D13">
        <w:tc>
          <w:tcPr>
            <w:tcW w:w="5920" w:type="dxa"/>
          </w:tcPr>
          <w:p w:rsidR="009C1ACF" w:rsidRDefault="009C1ACF" w:rsidP="00A81B4E">
            <w:pPr>
              <w:pStyle w:val="TSB-PolicyBullets"/>
              <w:numPr>
                <w:ilvl w:val="0"/>
                <w:numId w:val="0"/>
              </w:numPr>
            </w:pPr>
            <w:r>
              <w:t>Physical and emotional health</w:t>
            </w:r>
            <w:r w:rsidR="00B934B3">
              <w:t xml:space="preserve"> </w:t>
            </w:r>
          </w:p>
        </w:tc>
      </w:tr>
      <w:tr w:rsidR="009C1ACF" w:rsidTr="00571D13">
        <w:tc>
          <w:tcPr>
            <w:tcW w:w="5920" w:type="dxa"/>
          </w:tcPr>
          <w:p w:rsidR="009C1ACF" w:rsidRDefault="0052609A" w:rsidP="00A81B4E">
            <w:pPr>
              <w:pStyle w:val="TSB-PolicyBullets"/>
              <w:numPr>
                <w:ilvl w:val="0"/>
                <w:numId w:val="0"/>
              </w:numPr>
            </w:pPr>
            <w:r>
              <w:t>Online bullying</w:t>
            </w:r>
            <w:r w:rsidR="00B934B3">
              <w:t xml:space="preserve"> / relationships</w:t>
            </w:r>
          </w:p>
        </w:tc>
      </w:tr>
      <w:tr w:rsidR="009C1ACF" w:rsidTr="00571D13">
        <w:tc>
          <w:tcPr>
            <w:tcW w:w="5920" w:type="dxa"/>
          </w:tcPr>
          <w:p w:rsidR="009C1ACF" w:rsidRDefault="00571D13" w:rsidP="00A81B4E">
            <w:pPr>
              <w:pStyle w:val="TSB-PolicyBullets"/>
              <w:numPr>
                <w:ilvl w:val="0"/>
                <w:numId w:val="0"/>
              </w:numPr>
            </w:pPr>
            <w:r>
              <w:t>Breaking down barriers (equality, diversity, cohesion)</w:t>
            </w:r>
          </w:p>
        </w:tc>
      </w:tr>
      <w:tr w:rsidR="00571D13" w:rsidTr="00571D13">
        <w:tc>
          <w:tcPr>
            <w:tcW w:w="5920" w:type="dxa"/>
          </w:tcPr>
          <w:p w:rsidR="00571D13" w:rsidRDefault="00571D13" w:rsidP="00A81B4E">
            <w:pPr>
              <w:pStyle w:val="TSB-PolicyBullets"/>
              <w:numPr>
                <w:ilvl w:val="0"/>
                <w:numId w:val="0"/>
              </w:numPr>
            </w:pPr>
          </w:p>
        </w:tc>
      </w:tr>
      <w:tr w:rsidR="009C1ACF" w:rsidTr="00571D13">
        <w:tc>
          <w:tcPr>
            <w:tcW w:w="5920" w:type="dxa"/>
            <w:shd w:val="clear" w:color="auto" w:fill="00FFCC"/>
          </w:tcPr>
          <w:p w:rsidR="009C1ACF" w:rsidRDefault="009C1ACF" w:rsidP="00571D13">
            <w:pPr>
              <w:pStyle w:val="TSB-PolicyBullets"/>
              <w:numPr>
                <w:ilvl w:val="0"/>
                <w:numId w:val="0"/>
              </w:numPr>
              <w:jc w:val="center"/>
            </w:pPr>
            <w:r>
              <w:t>Year 5</w:t>
            </w:r>
          </w:p>
        </w:tc>
      </w:tr>
      <w:tr w:rsidR="009C1ACF" w:rsidTr="00571D13">
        <w:tc>
          <w:tcPr>
            <w:tcW w:w="5920" w:type="dxa"/>
          </w:tcPr>
          <w:p w:rsidR="009C1ACF" w:rsidRDefault="009C1ACF" w:rsidP="00A81B4E">
            <w:pPr>
              <w:pStyle w:val="TSB-PolicyBullets"/>
              <w:numPr>
                <w:ilvl w:val="0"/>
                <w:numId w:val="0"/>
              </w:numPr>
            </w:pPr>
            <w:r>
              <w:t>Digital World</w:t>
            </w:r>
            <w:r w:rsidR="00B934B3">
              <w:t xml:space="preserve"> / Keeping safe online</w:t>
            </w:r>
            <w:r w:rsidR="00D251E5">
              <w:t xml:space="preserve"> -social media</w:t>
            </w:r>
          </w:p>
        </w:tc>
      </w:tr>
      <w:tr w:rsidR="009C1ACF" w:rsidTr="00571D13">
        <w:tc>
          <w:tcPr>
            <w:tcW w:w="5920" w:type="dxa"/>
          </w:tcPr>
          <w:p w:rsidR="009C1ACF" w:rsidRDefault="009C1ACF" w:rsidP="00A81B4E">
            <w:pPr>
              <w:pStyle w:val="TSB-PolicyBullets"/>
              <w:numPr>
                <w:ilvl w:val="0"/>
                <w:numId w:val="0"/>
              </w:numPr>
            </w:pPr>
            <w:r>
              <w:t>Puberty</w:t>
            </w:r>
            <w:r w:rsidR="0052609A">
              <w:t xml:space="preserve"> (changes-emotional</w:t>
            </w:r>
            <w:r w:rsidR="008E7036">
              <w:t xml:space="preserve"> and physical</w:t>
            </w:r>
            <w:r w:rsidR="0052609A">
              <w:t xml:space="preserve"> health)</w:t>
            </w:r>
          </w:p>
        </w:tc>
      </w:tr>
      <w:tr w:rsidR="009C1ACF" w:rsidTr="00571D13">
        <w:tc>
          <w:tcPr>
            <w:tcW w:w="5920" w:type="dxa"/>
          </w:tcPr>
          <w:p w:rsidR="009C1ACF" w:rsidRDefault="009C1ACF" w:rsidP="00A81B4E">
            <w:pPr>
              <w:pStyle w:val="TSB-PolicyBullets"/>
              <w:numPr>
                <w:ilvl w:val="0"/>
                <w:numId w:val="0"/>
              </w:numPr>
            </w:pPr>
            <w:r>
              <w:t>Puberty – boys and girls</w:t>
            </w:r>
          </w:p>
        </w:tc>
      </w:tr>
      <w:tr w:rsidR="009C1ACF" w:rsidTr="00571D13">
        <w:tc>
          <w:tcPr>
            <w:tcW w:w="5920" w:type="dxa"/>
          </w:tcPr>
          <w:p w:rsidR="009C1ACF" w:rsidRDefault="009C1ACF" w:rsidP="00A81B4E">
            <w:pPr>
              <w:pStyle w:val="TSB-PolicyBullets"/>
              <w:numPr>
                <w:ilvl w:val="0"/>
                <w:numId w:val="0"/>
              </w:numPr>
            </w:pPr>
            <w:r>
              <w:t>Human Reproduction</w:t>
            </w:r>
          </w:p>
        </w:tc>
      </w:tr>
      <w:tr w:rsidR="009C1ACF" w:rsidTr="00571D13">
        <w:tc>
          <w:tcPr>
            <w:tcW w:w="5920" w:type="dxa"/>
          </w:tcPr>
          <w:p w:rsidR="009C1ACF" w:rsidRDefault="009C1ACF" w:rsidP="00A81B4E">
            <w:pPr>
              <w:pStyle w:val="TSB-PolicyBullets"/>
              <w:numPr>
                <w:ilvl w:val="0"/>
                <w:numId w:val="0"/>
              </w:numPr>
            </w:pPr>
            <w:r>
              <w:t>Families and relationships</w:t>
            </w:r>
          </w:p>
        </w:tc>
      </w:tr>
      <w:tr w:rsidR="009C1ACF" w:rsidTr="00571D13">
        <w:tc>
          <w:tcPr>
            <w:tcW w:w="5920" w:type="dxa"/>
          </w:tcPr>
          <w:p w:rsidR="009C1ACF" w:rsidRDefault="009C1ACF" w:rsidP="00A81B4E">
            <w:pPr>
              <w:pStyle w:val="TSB-PolicyBullets"/>
              <w:numPr>
                <w:ilvl w:val="0"/>
                <w:numId w:val="0"/>
              </w:numPr>
            </w:pPr>
            <w:r>
              <w:t>Personal boundaries</w:t>
            </w:r>
          </w:p>
        </w:tc>
      </w:tr>
      <w:tr w:rsidR="009C1ACF" w:rsidTr="00571D13">
        <w:tc>
          <w:tcPr>
            <w:tcW w:w="5920" w:type="dxa"/>
          </w:tcPr>
          <w:p w:rsidR="009C1ACF" w:rsidRDefault="009C1ACF" w:rsidP="00A81B4E">
            <w:pPr>
              <w:pStyle w:val="TSB-PolicyBullets"/>
              <w:numPr>
                <w:ilvl w:val="0"/>
                <w:numId w:val="0"/>
              </w:numPr>
            </w:pPr>
            <w:r>
              <w:t>Diversity</w:t>
            </w:r>
            <w:r w:rsidR="00B934B3">
              <w:t xml:space="preserve"> / Equality</w:t>
            </w:r>
            <w:r w:rsidR="00C55242">
              <w:t>/Protected Characteristics</w:t>
            </w:r>
          </w:p>
        </w:tc>
      </w:tr>
      <w:tr w:rsidR="00571D13" w:rsidTr="00571D13">
        <w:tc>
          <w:tcPr>
            <w:tcW w:w="5920" w:type="dxa"/>
          </w:tcPr>
          <w:p w:rsidR="00571D13" w:rsidRDefault="00571D13" w:rsidP="00A81B4E">
            <w:pPr>
              <w:pStyle w:val="TSB-PolicyBullets"/>
              <w:numPr>
                <w:ilvl w:val="0"/>
                <w:numId w:val="0"/>
              </w:numPr>
            </w:pPr>
            <w:r>
              <w:t>Image sharing</w:t>
            </w:r>
          </w:p>
        </w:tc>
      </w:tr>
      <w:tr w:rsidR="00571D13" w:rsidTr="00571D13">
        <w:tc>
          <w:tcPr>
            <w:tcW w:w="5920" w:type="dxa"/>
          </w:tcPr>
          <w:p w:rsidR="00571D13" w:rsidRDefault="00571D13" w:rsidP="00A81B4E">
            <w:pPr>
              <w:pStyle w:val="TSB-PolicyBullets"/>
              <w:numPr>
                <w:ilvl w:val="0"/>
                <w:numId w:val="0"/>
              </w:numPr>
            </w:pPr>
            <w:r>
              <w:t>Peer pressure</w:t>
            </w:r>
          </w:p>
        </w:tc>
      </w:tr>
      <w:tr w:rsidR="0052609A" w:rsidTr="00571D13">
        <w:tc>
          <w:tcPr>
            <w:tcW w:w="5920" w:type="dxa"/>
          </w:tcPr>
          <w:p w:rsidR="0052609A" w:rsidRDefault="0052609A" w:rsidP="00A81B4E">
            <w:pPr>
              <w:pStyle w:val="TSB-PolicyBullets"/>
              <w:numPr>
                <w:ilvl w:val="0"/>
                <w:numId w:val="0"/>
              </w:numPr>
            </w:pPr>
            <w:r>
              <w:t>Self-image</w:t>
            </w:r>
          </w:p>
        </w:tc>
      </w:tr>
      <w:tr w:rsidR="009C1ACF" w:rsidTr="00571D13">
        <w:tc>
          <w:tcPr>
            <w:tcW w:w="5920" w:type="dxa"/>
          </w:tcPr>
          <w:p w:rsidR="009C1ACF" w:rsidRDefault="00571D13" w:rsidP="00A81B4E">
            <w:pPr>
              <w:pStyle w:val="TSB-PolicyBullets"/>
              <w:numPr>
                <w:ilvl w:val="0"/>
                <w:numId w:val="0"/>
              </w:numPr>
            </w:pPr>
            <w:r>
              <w:t>Looking out for others</w:t>
            </w:r>
          </w:p>
        </w:tc>
      </w:tr>
      <w:tr w:rsidR="00571D13" w:rsidTr="00571D13">
        <w:tc>
          <w:tcPr>
            <w:tcW w:w="5920" w:type="dxa"/>
          </w:tcPr>
          <w:p w:rsidR="00571D13" w:rsidRDefault="00571D13" w:rsidP="00A81B4E">
            <w:pPr>
              <w:pStyle w:val="TSB-PolicyBullets"/>
              <w:numPr>
                <w:ilvl w:val="0"/>
                <w:numId w:val="0"/>
              </w:numPr>
            </w:pPr>
          </w:p>
        </w:tc>
      </w:tr>
      <w:tr w:rsidR="009C1ACF" w:rsidTr="00571D13">
        <w:tc>
          <w:tcPr>
            <w:tcW w:w="5920" w:type="dxa"/>
            <w:shd w:val="clear" w:color="auto" w:fill="00FFCC"/>
          </w:tcPr>
          <w:p w:rsidR="009C1ACF" w:rsidRDefault="009C1ACF" w:rsidP="00571D13">
            <w:pPr>
              <w:pStyle w:val="TSB-PolicyBullets"/>
              <w:numPr>
                <w:ilvl w:val="0"/>
                <w:numId w:val="0"/>
              </w:numPr>
              <w:jc w:val="center"/>
            </w:pPr>
            <w:r>
              <w:t>Year 6</w:t>
            </w:r>
          </w:p>
        </w:tc>
      </w:tr>
      <w:tr w:rsidR="009C1ACF" w:rsidTr="00571D13">
        <w:tc>
          <w:tcPr>
            <w:tcW w:w="5920" w:type="dxa"/>
          </w:tcPr>
          <w:p w:rsidR="009C1ACF" w:rsidRDefault="009C1ACF" w:rsidP="00A81B4E">
            <w:pPr>
              <w:pStyle w:val="TSB-PolicyBullets"/>
              <w:numPr>
                <w:ilvl w:val="0"/>
                <w:numId w:val="0"/>
              </w:numPr>
            </w:pPr>
            <w:r>
              <w:t>Identity including sex, gender, sexual orientation</w:t>
            </w:r>
          </w:p>
        </w:tc>
      </w:tr>
      <w:tr w:rsidR="009C1ACF" w:rsidTr="00571D13">
        <w:tc>
          <w:tcPr>
            <w:tcW w:w="5920" w:type="dxa"/>
          </w:tcPr>
          <w:p w:rsidR="009C1ACF" w:rsidRDefault="009C1ACF" w:rsidP="00A81B4E">
            <w:pPr>
              <w:pStyle w:val="TSB-PolicyBullets"/>
              <w:numPr>
                <w:ilvl w:val="0"/>
                <w:numId w:val="0"/>
              </w:numPr>
            </w:pPr>
            <w:r>
              <w:t>Consent</w:t>
            </w:r>
          </w:p>
        </w:tc>
      </w:tr>
      <w:tr w:rsidR="009C1ACF" w:rsidTr="00571D13">
        <w:tc>
          <w:tcPr>
            <w:tcW w:w="5920" w:type="dxa"/>
          </w:tcPr>
          <w:p w:rsidR="009C1ACF" w:rsidRDefault="009C1ACF" w:rsidP="00A81B4E">
            <w:pPr>
              <w:pStyle w:val="TSB-PolicyBullets"/>
              <w:numPr>
                <w:ilvl w:val="0"/>
                <w:numId w:val="0"/>
              </w:numPr>
            </w:pPr>
            <w:r>
              <w:t>Healthy relationships</w:t>
            </w:r>
            <w:r w:rsidR="0052609A">
              <w:t xml:space="preserve"> </w:t>
            </w:r>
          </w:p>
        </w:tc>
      </w:tr>
      <w:tr w:rsidR="009C1ACF" w:rsidTr="00571D13">
        <w:tc>
          <w:tcPr>
            <w:tcW w:w="5920" w:type="dxa"/>
          </w:tcPr>
          <w:p w:rsidR="009C1ACF" w:rsidRDefault="009C1ACF" w:rsidP="00A81B4E">
            <w:pPr>
              <w:pStyle w:val="TSB-PolicyBullets"/>
              <w:numPr>
                <w:ilvl w:val="0"/>
                <w:numId w:val="0"/>
              </w:numPr>
            </w:pPr>
            <w:r>
              <w:t>Marriage and civil partnership</w:t>
            </w:r>
          </w:p>
        </w:tc>
      </w:tr>
      <w:tr w:rsidR="009C1ACF" w:rsidTr="00571D13">
        <w:tc>
          <w:tcPr>
            <w:tcW w:w="5920" w:type="dxa"/>
          </w:tcPr>
          <w:p w:rsidR="009C1ACF" w:rsidRDefault="009C1ACF" w:rsidP="00A81B4E">
            <w:pPr>
              <w:pStyle w:val="TSB-PolicyBullets"/>
              <w:numPr>
                <w:ilvl w:val="0"/>
                <w:numId w:val="0"/>
              </w:numPr>
            </w:pPr>
            <w:r>
              <w:t>Forced marriage</w:t>
            </w:r>
          </w:p>
        </w:tc>
      </w:tr>
      <w:tr w:rsidR="009C1ACF" w:rsidTr="00571D13">
        <w:tc>
          <w:tcPr>
            <w:tcW w:w="5920" w:type="dxa"/>
          </w:tcPr>
          <w:p w:rsidR="009C1ACF" w:rsidRDefault="009C1ACF" w:rsidP="00A81B4E">
            <w:pPr>
              <w:pStyle w:val="TSB-PolicyBullets"/>
              <w:numPr>
                <w:ilvl w:val="0"/>
                <w:numId w:val="0"/>
              </w:numPr>
            </w:pPr>
            <w:r>
              <w:t>Self-image and self-esteem</w:t>
            </w:r>
            <w:r w:rsidR="00B934B3">
              <w:t xml:space="preserve"> / Mental wel</w:t>
            </w:r>
            <w:r w:rsidR="00D251E5">
              <w:t>l</w:t>
            </w:r>
            <w:r w:rsidR="00B934B3">
              <w:t>-being</w:t>
            </w:r>
          </w:p>
        </w:tc>
      </w:tr>
      <w:tr w:rsidR="009C1ACF" w:rsidTr="00571D13">
        <w:tc>
          <w:tcPr>
            <w:tcW w:w="5920" w:type="dxa"/>
          </w:tcPr>
          <w:p w:rsidR="009C1ACF" w:rsidRDefault="00043C14" w:rsidP="00A81B4E">
            <w:pPr>
              <w:pStyle w:val="TSB-PolicyBullets"/>
              <w:numPr>
                <w:ilvl w:val="0"/>
                <w:numId w:val="0"/>
              </w:numPr>
            </w:pPr>
            <w:r>
              <w:t>Unhealthy relationships</w:t>
            </w:r>
          </w:p>
        </w:tc>
      </w:tr>
      <w:tr w:rsidR="00571D13" w:rsidTr="00571D13">
        <w:tc>
          <w:tcPr>
            <w:tcW w:w="5920" w:type="dxa"/>
          </w:tcPr>
          <w:p w:rsidR="00571D13" w:rsidRDefault="00571D13" w:rsidP="00A81B4E">
            <w:pPr>
              <w:pStyle w:val="TSB-PolicyBullets"/>
              <w:numPr>
                <w:ilvl w:val="0"/>
                <w:numId w:val="0"/>
              </w:numPr>
            </w:pPr>
            <w:r>
              <w:t>Our diverse world</w:t>
            </w:r>
          </w:p>
        </w:tc>
      </w:tr>
      <w:tr w:rsidR="00C55242" w:rsidTr="00571D13">
        <w:tc>
          <w:tcPr>
            <w:tcW w:w="5920" w:type="dxa"/>
          </w:tcPr>
          <w:p w:rsidR="00C55242" w:rsidRDefault="00C55242" w:rsidP="00A81B4E">
            <w:pPr>
              <w:pStyle w:val="TSB-PolicyBullets"/>
              <w:numPr>
                <w:ilvl w:val="0"/>
                <w:numId w:val="0"/>
              </w:numPr>
            </w:pPr>
            <w:r>
              <w:t>Peer on peer abuse</w:t>
            </w:r>
          </w:p>
        </w:tc>
      </w:tr>
      <w:tr w:rsidR="009C1ACF" w:rsidTr="00571D13">
        <w:tc>
          <w:tcPr>
            <w:tcW w:w="5920" w:type="dxa"/>
          </w:tcPr>
          <w:p w:rsidR="009C1ACF" w:rsidRDefault="009C1ACF" w:rsidP="00A81B4E">
            <w:pPr>
              <w:pStyle w:val="TSB-PolicyBullets"/>
              <w:numPr>
                <w:ilvl w:val="0"/>
                <w:numId w:val="0"/>
              </w:numPr>
            </w:pPr>
            <w:r>
              <w:t>Keeping safe online</w:t>
            </w:r>
            <w:r w:rsidR="00571D13">
              <w:t xml:space="preserve"> (making friends online)</w:t>
            </w:r>
          </w:p>
        </w:tc>
      </w:tr>
      <w:tr w:rsidR="009C1ACF" w:rsidTr="00571D13">
        <w:tc>
          <w:tcPr>
            <w:tcW w:w="5920" w:type="dxa"/>
          </w:tcPr>
          <w:p w:rsidR="009C1ACF" w:rsidRDefault="009C1ACF" w:rsidP="00A81B4E">
            <w:pPr>
              <w:pStyle w:val="TSB-PolicyBullets"/>
              <w:numPr>
                <w:ilvl w:val="0"/>
                <w:numId w:val="0"/>
              </w:numPr>
            </w:pPr>
            <w:r>
              <w:t>Sexting</w:t>
            </w:r>
          </w:p>
        </w:tc>
      </w:tr>
      <w:tr w:rsidR="009C1ACF" w:rsidTr="00571D13">
        <w:tc>
          <w:tcPr>
            <w:tcW w:w="5920" w:type="dxa"/>
          </w:tcPr>
          <w:p w:rsidR="009C1ACF" w:rsidRDefault="009C1ACF" w:rsidP="00A81B4E">
            <w:pPr>
              <w:pStyle w:val="TSB-PolicyBullets"/>
              <w:numPr>
                <w:ilvl w:val="0"/>
                <w:numId w:val="0"/>
              </w:numPr>
            </w:pPr>
            <w:r>
              <w:t>FGM (if appropriate)</w:t>
            </w:r>
          </w:p>
        </w:tc>
      </w:tr>
      <w:tr w:rsidR="0052609A" w:rsidTr="00571D13">
        <w:tc>
          <w:tcPr>
            <w:tcW w:w="5920" w:type="dxa"/>
          </w:tcPr>
          <w:p w:rsidR="0052609A" w:rsidRDefault="0052609A" w:rsidP="00A81B4E">
            <w:pPr>
              <w:pStyle w:val="TSB-PolicyBullets"/>
              <w:numPr>
                <w:ilvl w:val="0"/>
                <w:numId w:val="0"/>
              </w:numPr>
            </w:pPr>
            <w:r>
              <w:t>Transition</w:t>
            </w:r>
            <w:r w:rsidR="00571D13">
              <w:t xml:space="preserve"> changes</w:t>
            </w:r>
            <w:r>
              <w:t xml:space="preserve"> (secondary school)</w:t>
            </w:r>
          </w:p>
        </w:tc>
      </w:tr>
    </w:tbl>
    <w:p w:rsidR="00A81B4E" w:rsidRDefault="00A81B4E" w:rsidP="00A81B4E">
      <w:pPr>
        <w:pStyle w:val="TSB-PolicyBullets"/>
        <w:numPr>
          <w:ilvl w:val="0"/>
          <w:numId w:val="0"/>
        </w:numPr>
      </w:pPr>
    </w:p>
    <w:p w:rsidR="00A81B4E" w:rsidRDefault="00A81B4E" w:rsidP="00A81B4E">
      <w:pPr>
        <w:pStyle w:val="TSB-PolicyBullets"/>
        <w:numPr>
          <w:ilvl w:val="0"/>
          <w:numId w:val="0"/>
        </w:numPr>
      </w:pPr>
    </w:p>
    <w:p w:rsidR="00A81B4E" w:rsidRDefault="00A81B4E" w:rsidP="00A81B4E">
      <w:pPr>
        <w:pStyle w:val="TSB-PolicyBullets"/>
        <w:numPr>
          <w:ilvl w:val="0"/>
          <w:numId w:val="0"/>
        </w:numPr>
      </w:pPr>
    </w:p>
    <w:p w:rsidR="00A81B4E" w:rsidRDefault="00A81B4E" w:rsidP="00A81B4E">
      <w:pPr>
        <w:pStyle w:val="TSB-PolicyBullets"/>
        <w:numPr>
          <w:ilvl w:val="0"/>
          <w:numId w:val="0"/>
        </w:numPr>
      </w:pPr>
    </w:p>
    <w:p w:rsidR="00A81B4E" w:rsidRDefault="00A81B4E" w:rsidP="00A81B4E">
      <w:pPr>
        <w:pStyle w:val="TSB-PolicyBullets"/>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336"/>
        <w:gridCol w:w="843"/>
        <w:gridCol w:w="3120"/>
      </w:tblGrid>
      <w:tr w:rsidR="00D157FF" w:rsidTr="00A56433">
        <w:trPr>
          <w:trHeight w:val="389"/>
        </w:trPr>
        <w:tc>
          <w:tcPr>
            <w:tcW w:w="9242" w:type="dxa"/>
            <w:gridSpan w:val="4"/>
            <w:vAlign w:val="center"/>
          </w:tcPr>
          <w:p w:rsidR="00D157FF" w:rsidRDefault="00D157FF" w:rsidP="00A56433">
            <w:pPr>
              <w:jc w:val="both"/>
            </w:pPr>
            <w:r w:rsidRPr="007271AF">
              <w:t>Signed by</w:t>
            </w:r>
            <w:r>
              <w:t>:</w:t>
            </w:r>
          </w:p>
        </w:tc>
      </w:tr>
      <w:tr w:rsidR="00D157FF" w:rsidTr="00A56433">
        <w:trPr>
          <w:trHeight w:val="624"/>
        </w:trPr>
        <w:tc>
          <w:tcPr>
            <w:tcW w:w="2813" w:type="dxa"/>
            <w:tcBorders>
              <w:bottom w:val="single" w:sz="2" w:space="0" w:color="auto"/>
            </w:tcBorders>
          </w:tcPr>
          <w:p w:rsidR="00D157FF" w:rsidRPr="007271AF" w:rsidRDefault="00D157FF" w:rsidP="00A56433">
            <w:pPr>
              <w:jc w:val="both"/>
            </w:pPr>
          </w:p>
        </w:tc>
        <w:tc>
          <w:tcPr>
            <w:tcW w:w="2365" w:type="dxa"/>
            <w:vAlign w:val="bottom"/>
          </w:tcPr>
          <w:p w:rsidR="00D157FF" w:rsidRDefault="00D157FF" w:rsidP="00A56433">
            <w:pPr>
              <w:jc w:val="both"/>
            </w:pPr>
            <w:r>
              <w:rPr>
                <w:highlight w:val="lightGray"/>
              </w:rPr>
              <w:t>Headteacher</w:t>
            </w:r>
          </w:p>
        </w:tc>
        <w:tc>
          <w:tcPr>
            <w:tcW w:w="846" w:type="dxa"/>
            <w:vAlign w:val="bottom"/>
          </w:tcPr>
          <w:p w:rsidR="00D157FF" w:rsidRDefault="00D157FF" w:rsidP="00A56433">
            <w:pPr>
              <w:jc w:val="both"/>
            </w:pPr>
            <w:r w:rsidRPr="007271AF">
              <w:t>Date:</w:t>
            </w:r>
          </w:p>
        </w:tc>
        <w:tc>
          <w:tcPr>
            <w:tcW w:w="3218" w:type="dxa"/>
            <w:tcBorders>
              <w:bottom w:val="single" w:sz="2" w:space="0" w:color="auto"/>
            </w:tcBorders>
          </w:tcPr>
          <w:p w:rsidR="00D157FF" w:rsidRDefault="00D157FF" w:rsidP="00A56433">
            <w:pPr>
              <w:jc w:val="both"/>
            </w:pPr>
          </w:p>
        </w:tc>
      </w:tr>
      <w:tr w:rsidR="00D157FF" w:rsidTr="00A56433">
        <w:trPr>
          <w:trHeight w:val="624"/>
        </w:trPr>
        <w:tc>
          <w:tcPr>
            <w:tcW w:w="2813" w:type="dxa"/>
            <w:tcBorders>
              <w:top w:val="single" w:sz="2" w:space="0" w:color="auto"/>
              <w:bottom w:val="single" w:sz="2" w:space="0" w:color="auto"/>
            </w:tcBorders>
          </w:tcPr>
          <w:p w:rsidR="00D157FF" w:rsidRPr="007271AF" w:rsidRDefault="00D157FF" w:rsidP="00A56433">
            <w:pPr>
              <w:jc w:val="both"/>
            </w:pPr>
          </w:p>
        </w:tc>
        <w:tc>
          <w:tcPr>
            <w:tcW w:w="2365" w:type="dxa"/>
            <w:vAlign w:val="bottom"/>
          </w:tcPr>
          <w:p w:rsidR="00D157FF" w:rsidRDefault="00D157FF" w:rsidP="00A56433">
            <w:pPr>
              <w:spacing w:line="276" w:lineRule="auto"/>
              <w:jc w:val="both"/>
              <w:rPr>
                <w:highlight w:val="lightGray"/>
              </w:rPr>
            </w:pPr>
            <w:r>
              <w:t>Chair of g</w:t>
            </w:r>
            <w:r w:rsidRPr="007271AF">
              <w:t>overnors</w:t>
            </w:r>
          </w:p>
        </w:tc>
        <w:tc>
          <w:tcPr>
            <w:tcW w:w="846" w:type="dxa"/>
            <w:vAlign w:val="bottom"/>
          </w:tcPr>
          <w:p w:rsidR="00D157FF" w:rsidRDefault="00D157FF" w:rsidP="00A56433">
            <w:pPr>
              <w:jc w:val="both"/>
            </w:pPr>
            <w:r w:rsidRPr="007271AF">
              <w:t>Date:</w:t>
            </w:r>
          </w:p>
        </w:tc>
        <w:tc>
          <w:tcPr>
            <w:tcW w:w="3218" w:type="dxa"/>
            <w:tcBorders>
              <w:top w:val="single" w:sz="2" w:space="0" w:color="auto"/>
              <w:bottom w:val="single" w:sz="2" w:space="0" w:color="auto"/>
            </w:tcBorders>
          </w:tcPr>
          <w:p w:rsidR="00D157FF" w:rsidRDefault="00D157FF" w:rsidP="00A56433">
            <w:pPr>
              <w:jc w:val="both"/>
            </w:pPr>
          </w:p>
        </w:tc>
      </w:tr>
    </w:tbl>
    <w:p w:rsidR="00D157FF" w:rsidRPr="007273E6" w:rsidRDefault="00D157FF" w:rsidP="00466355">
      <w:pPr>
        <w:pStyle w:val="TSB-PolicyBullets"/>
        <w:numPr>
          <w:ilvl w:val="0"/>
          <w:numId w:val="0"/>
        </w:numPr>
        <w:sectPr w:rsidR="00D157FF" w:rsidRPr="007273E6" w:rsidSect="001C7100">
          <w:footerReference w:type="default" r:id="rId13"/>
          <w:pgSz w:w="11906" w:h="16838"/>
          <w:pgMar w:top="1440" w:right="1440" w:bottom="1440" w:left="1440" w:header="709" w:footer="709" w:gutter="0"/>
          <w:cols w:space="708"/>
          <w:docGrid w:linePitch="360"/>
        </w:sectPr>
      </w:pPr>
    </w:p>
    <w:p w:rsidR="00C560CE" w:rsidRDefault="00BE1A83" w:rsidP="00F46669">
      <w:pPr>
        <w:pStyle w:val="Heading10"/>
        <w:numPr>
          <w:ilvl w:val="0"/>
          <w:numId w:val="0"/>
        </w:numPr>
        <w:tabs>
          <w:tab w:val="left" w:pos="6786"/>
        </w:tabs>
        <w:rPr>
          <w:b/>
        </w:rPr>
      </w:pPr>
      <w:bookmarkStart w:id="25" w:name="_Appendix_1_–"/>
      <w:bookmarkStart w:id="26" w:name="_Appendix_4_-"/>
      <w:bookmarkStart w:id="27" w:name="_Appendix_2_–"/>
      <w:bookmarkStart w:id="28" w:name="_Appendix_2_–_1"/>
      <w:bookmarkStart w:id="29" w:name="N"/>
      <w:bookmarkEnd w:id="25"/>
      <w:bookmarkEnd w:id="26"/>
      <w:bookmarkEnd w:id="27"/>
      <w:bookmarkEnd w:id="28"/>
      <w:r w:rsidRPr="00A33ADD">
        <w:rPr>
          <w:b/>
        </w:rPr>
        <w:lastRenderedPageBreak/>
        <w:t>Appendix 1 –</w:t>
      </w:r>
      <w:r w:rsidR="00C560CE">
        <w:rPr>
          <w:b/>
        </w:rPr>
        <w:t xml:space="preserve"> Letter to parents/</w:t>
      </w:r>
      <w:r w:rsidR="003B55E8">
        <w:rPr>
          <w:b/>
        </w:rPr>
        <w:t>carers</w:t>
      </w:r>
    </w:p>
    <w:bookmarkEnd w:id="29"/>
    <w:p w:rsidR="00C560CE" w:rsidRPr="004440B0" w:rsidRDefault="00C560CE" w:rsidP="00C560CE">
      <w:pPr>
        <w:spacing w:after="0"/>
        <w:jc w:val="right"/>
      </w:pPr>
    </w:p>
    <w:p w:rsidR="00C560CE" w:rsidRPr="004440B0" w:rsidRDefault="004440B0" w:rsidP="00C560CE">
      <w:pPr>
        <w:spacing w:after="0"/>
        <w:jc w:val="right"/>
      </w:pPr>
      <w:r w:rsidRPr="004440B0">
        <w:t>Holden Clough Primary</w:t>
      </w:r>
    </w:p>
    <w:p w:rsidR="00C560CE" w:rsidRPr="004440B0" w:rsidRDefault="004440B0" w:rsidP="00C560CE">
      <w:pPr>
        <w:spacing w:after="0"/>
        <w:jc w:val="right"/>
      </w:pPr>
      <w:r w:rsidRPr="004440B0">
        <w:t>St Albans Avenue</w:t>
      </w:r>
    </w:p>
    <w:p w:rsidR="00C560CE" w:rsidRPr="004440B0" w:rsidRDefault="004440B0" w:rsidP="00C560CE">
      <w:pPr>
        <w:spacing w:after="0"/>
        <w:jc w:val="right"/>
      </w:pPr>
      <w:r>
        <w:t>Ashton under L</w:t>
      </w:r>
      <w:r w:rsidRPr="004440B0">
        <w:t>yne</w:t>
      </w:r>
    </w:p>
    <w:p w:rsidR="00C560CE" w:rsidRPr="004440B0" w:rsidRDefault="004440B0" w:rsidP="00C560CE">
      <w:pPr>
        <w:spacing w:after="0"/>
        <w:jc w:val="right"/>
      </w:pPr>
      <w:r w:rsidRPr="004440B0">
        <w:t>OL6 8XN</w:t>
      </w:r>
    </w:p>
    <w:p w:rsidR="00C560CE" w:rsidRDefault="00C560CE" w:rsidP="00C560CE">
      <w:pPr>
        <w:spacing w:after="0"/>
      </w:pPr>
    </w:p>
    <w:p w:rsidR="00C560CE" w:rsidRDefault="00C560CE" w:rsidP="00C560CE">
      <w:pPr>
        <w:spacing w:after="0"/>
      </w:pPr>
    </w:p>
    <w:p w:rsidR="00C560CE" w:rsidRDefault="00C560CE" w:rsidP="00C560CE">
      <w:pPr>
        <w:spacing w:after="0"/>
      </w:pPr>
    </w:p>
    <w:p w:rsidR="00C560CE" w:rsidRDefault="00C560CE" w:rsidP="00C560CE">
      <w:pPr>
        <w:spacing w:after="0"/>
      </w:pPr>
      <w:r>
        <w:t>Dear Parent/</w:t>
      </w:r>
      <w:r w:rsidR="004856C3">
        <w:t>c</w:t>
      </w:r>
      <w:r>
        <w:t>are</w:t>
      </w:r>
      <w:r w:rsidR="00A61CDA">
        <w:t>r</w:t>
      </w:r>
      <w:r>
        <w:t>,</w:t>
      </w:r>
    </w:p>
    <w:p w:rsidR="00C560CE" w:rsidRDefault="00C560CE" w:rsidP="00C560CE">
      <w:pPr>
        <w:spacing w:after="0"/>
      </w:pPr>
    </w:p>
    <w:p w:rsidR="00C560CE" w:rsidRDefault="00C560CE" w:rsidP="00C560CE">
      <w:pPr>
        <w:spacing w:after="0"/>
      </w:pPr>
      <w:r w:rsidRPr="00AD09A1">
        <w:rPr>
          <w:b/>
        </w:rPr>
        <w:t xml:space="preserve">RE: Sex and relationship education at </w:t>
      </w:r>
      <w:r w:rsidR="004440B0">
        <w:rPr>
          <w:b/>
        </w:rPr>
        <w:t>Holden Clough Primary</w:t>
      </w:r>
    </w:p>
    <w:p w:rsidR="00C560CE" w:rsidRDefault="00C560CE" w:rsidP="00C560CE">
      <w:pPr>
        <w:spacing w:after="0"/>
        <w:jc w:val="both"/>
      </w:pPr>
      <w:r>
        <w:t xml:space="preserve">Government guidelines outline that, from the age of 11, it is compulsory for all </w:t>
      </w:r>
      <w:r w:rsidR="008606AC">
        <w:t>schools</w:t>
      </w:r>
      <w:r>
        <w:t xml:space="preserve"> to </w:t>
      </w:r>
      <w:r w:rsidR="008606AC">
        <w:t>provide a sex and relationship education programme.</w:t>
      </w:r>
    </w:p>
    <w:p w:rsidR="00C560CE" w:rsidRDefault="00C560CE" w:rsidP="00C560CE">
      <w:pPr>
        <w:spacing w:after="0"/>
        <w:jc w:val="both"/>
      </w:pPr>
    </w:p>
    <w:p w:rsidR="00C560CE" w:rsidRDefault="00C560CE" w:rsidP="00C560CE">
      <w:pPr>
        <w:spacing w:after="0"/>
        <w:jc w:val="both"/>
      </w:pPr>
      <w:r>
        <w:t xml:space="preserve">At </w:t>
      </w:r>
      <w:r w:rsidR="004440B0">
        <w:t xml:space="preserve">Holden Clough Primary </w:t>
      </w:r>
      <w:r>
        <w:t xml:space="preserve">we believe that it is important to provide our pupils with a thorough and balanced curriculum, including age-appropriate information about sex and relationships. </w:t>
      </w:r>
    </w:p>
    <w:p w:rsidR="00C560CE" w:rsidRDefault="00C560CE" w:rsidP="00C560CE">
      <w:pPr>
        <w:spacing w:after="0"/>
        <w:jc w:val="both"/>
      </w:pPr>
    </w:p>
    <w:p w:rsidR="00C560CE" w:rsidRDefault="00C560CE" w:rsidP="00C560CE">
      <w:pPr>
        <w:spacing w:after="0"/>
        <w:jc w:val="both"/>
      </w:pPr>
      <w:r>
        <w:t>The details of what will be taught to the various year groups is detailed in the</w:t>
      </w:r>
      <w:r w:rsidR="004440B0">
        <w:t xml:space="preserve"> school</w:t>
      </w:r>
      <w:r>
        <w:t>’s Sex and Relationship Education Policy, which can be accessed on our school website</w:t>
      </w:r>
      <w:r w:rsidR="008606AC">
        <w:t xml:space="preserve">, or in hard copy via our </w:t>
      </w:r>
      <w:r w:rsidR="004440B0">
        <w:t xml:space="preserve">school </w:t>
      </w:r>
      <w:r w:rsidR="008606AC" w:rsidRPr="001756E9">
        <w:t>office</w:t>
      </w:r>
      <w:r>
        <w:t>.</w:t>
      </w:r>
    </w:p>
    <w:p w:rsidR="00C560CE" w:rsidRDefault="00C560CE" w:rsidP="00C560CE">
      <w:pPr>
        <w:spacing w:after="0"/>
        <w:jc w:val="both"/>
      </w:pPr>
    </w:p>
    <w:p w:rsidR="008606AC" w:rsidRDefault="008606AC" w:rsidP="00C560CE">
      <w:pPr>
        <w:spacing w:after="0"/>
        <w:jc w:val="both"/>
      </w:pPr>
      <w:r>
        <w:t xml:space="preserve">Though </w:t>
      </w:r>
      <w:r w:rsidR="00F31337">
        <w:t xml:space="preserve">schools must provide sex and relationship education for pupils </w:t>
      </w:r>
      <w:r>
        <w:t>from the age of 11, up until the age of 19</w:t>
      </w:r>
      <w:r w:rsidR="00C560CE">
        <w:t xml:space="preserve">, </w:t>
      </w:r>
      <w:r>
        <w:t>only aspects</w:t>
      </w:r>
      <w:r w:rsidR="00C560CE">
        <w:t xml:space="preserve"> of the </w:t>
      </w:r>
      <w:r>
        <w:t xml:space="preserve">science national </w:t>
      </w:r>
      <w:r w:rsidR="00C560CE">
        <w:t xml:space="preserve">curriculum </w:t>
      </w:r>
      <w:r>
        <w:t>are</w:t>
      </w:r>
      <w:r w:rsidR="00C560CE">
        <w:t xml:space="preserve"> compulsory</w:t>
      </w:r>
      <w:r>
        <w:t xml:space="preserve"> for pupils to learn. Therefore as parents/</w:t>
      </w:r>
      <w:r w:rsidR="003B55E8">
        <w:t>carers</w:t>
      </w:r>
      <w:r>
        <w:t>,</w:t>
      </w:r>
      <w:r w:rsidR="00C560CE">
        <w:t xml:space="preserve"> you are entitled to request that your child be removed f</w:t>
      </w:r>
      <w:r w:rsidR="003B55E8">
        <w:t>rom</w:t>
      </w:r>
      <w:r w:rsidR="00C560CE">
        <w:t xml:space="preserve"> </w:t>
      </w:r>
      <w:r>
        <w:t>sex and relationship education</w:t>
      </w:r>
      <w:r w:rsidR="00C560CE">
        <w:t xml:space="preserve"> </w:t>
      </w:r>
      <w:r>
        <w:t>lessons.</w:t>
      </w:r>
    </w:p>
    <w:p w:rsidR="008606AC" w:rsidRDefault="008606AC" w:rsidP="00C560CE">
      <w:pPr>
        <w:spacing w:after="0"/>
        <w:jc w:val="both"/>
      </w:pPr>
    </w:p>
    <w:p w:rsidR="00C560CE" w:rsidRDefault="00C560CE" w:rsidP="00C560CE">
      <w:pPr>
        <w:spacing w:after="0"/>
        <w:jc w:val="both"/>
      </w:pPr>
      <w:r>
        <w:t>Such requests should be submitted t</w:t>
      </w:r>
      <w:r w:rsidR="003B55E8">
        <w:t>o myself</w:t>
      </w:r>
      <w:r>
        <w:t>,</w:t>
      </w:r>
      <w:r w:rsidR="003B55E8">
        <w:t xml:space="preserve"> the headteacher,</w:t>
      </w:r>
      <w:r>
        <w:t xml:space="preserve"> who will discuss this with you and your child’s teacher and determine an appropriate substitute for these lessons. In most instances, children will be provided with self-directed reading or exercises which they can complete under the supervision of a</w:t>
      </w:r>
      <w:r w:rsidR="009B63A3">
        <w:t xml:space="preserve">nother teacher or teaching assistant. </w:t>
      </w:r>
      <w:r>
        <w:t xml:space="preserve"> </w:t>
      </w:r>
    </w:p>
    <w:p w:rsidR="00C560CE" w:rsidRDefault="00C560CE" w:rsidP="00C560CE">
      <w:pPr>
        <w:spacing w:after="0"/>
        <w:jc w:val="both"/>
      </w:pPr>
    </w:p>
    <w:p w:rsidR="00C560CE" w:rsidRDefault="00C560CE" w:rsidP="00C560CE">
      <w:pPr>
        <w:spacing w:after="0"/>
        <w:jc w:val="both"/>
      </w:pPr>
      <w:r>
        <w:t>If you have any concerns or quer</w:t>
      </w:r>
      <w:r w:rsidR="003B55E8">
        <w:t>ies</w:t>
      </w:r>
      <w:r>
        <w:t xml:space="preserve"> about your child’s participation in these lessons, please do not hesitate to contact either </w:t>
      </w:r>
      <w:r w:rsidR="003B55E8">
        <w:t>myself</w:t>
      </w:r>
      <w:r>
        <w:t xml:space="preserve"> or your child’s class teacher to discuss these.</w:t>
      </w:r>
    </w:p>
    <w:p w:rsidR="00C560CE" w:rsidRDefault="00C560CE" w:rsidP="00C560CE">
      <w:pPr>
        <w:spacing w:before="240"/>
      </w:pPr>
      <w:r>
        <w:t>Yours sincerely,</w:t>
      </w:r>
    </w:p>
    <w:p w:rsidR="00C560CE" w:rsidRDefault="00C560CE" w:rsidP="00C560CE">
      <w:pPr>
        <w:spacing w:before="240"/>
      </w:pPr>
    </w:p>
    <w:p w:rsidR="001C7100" w:rsidRDefault="003B6B1E" w:rsidP="00611CBC">
      <w:pPr>
        <w:spacing w:before="240"/>
      </w:pPr>
      <w:proofErr w:type="spellStart"/>
      <w:r>
        <w:t>Faik</w:t>
      </w:r>
      <w:proofErr w:type="spellEnd"/>
      <w:r>
        <w:t xml:space="preserve"> </w:t>
      </w:r>
      <w:proofErr w:type="spellStart"/>
      <w:r>
        <w:t>Kordemir</w:t>
      </w:r>
      <w:proofErr w:type="spellEnd"/>
    </w:p>
    <w:p w:rsidR="00B47EA6" w:rsidRDefault="00C560CE" w:rsidP="00611CBC">
      <w:pPr>
        <w:spacing w:before="240"/>
        <w:rPr>
          <w:b/>
        </w:rPr>
      </w:pPr>
      <w:r>
        <w:t>Headteacher</w:t>
      </w:r>
      <w:r w:rsidR="00F46669">
        <w:rPr>
          <w:b/>
        </w:rPr>
        <w:tab/>
      </w:r>
    </w:p>
    <w:p w:rsidR="003B55E8" w:rsidRDefault="003B55E8" w:rsidP="00611CBC">
      <w:pPr>
        <w:spacing w:before="240"/>
      </w:pPr>
    </w:p>
    <w:p w:rsidR="001C7100" w:rsidRDefault="001C7100" w:rsidP="00611CBC">
      <w:pPr>
        <w:spacing w:before="240"/>
      </w:pPr>
    </w:p>
    <w:p w:rsidR="001C7100" w:rsidRPr="00611CBC" w:rsidRDefault="001C7100" w:rsidP="00611CBC">
      <w:pPr>
        <w:spacing w:before="240"/>
      </w:pPr>
    </w:p>
    <w:p w:rsidR="00B47EA6" w:rsidRDefault="00C0514B" w:rsidP="00C0514B">
      <w:pPr>
        <w:pStyle w:val="Heading10"/>
        <w:numPr>
          <w:ilvl w:val="0"/>
          <w:numId w:val="0"/>
        </w:numPr>
        <w:rPr>
          <w:b/>
        </w:rPr>
      </w:pPr>
      <w:bookmarkStart w:id="30" w:name="O"/>
      <w:r w:rsidRPr="00C0514B">
        <w:rPr>
          <w:b/>
        </w:rPr>
        <w:lastRenderedPageBreak/>
        <w:t>Appendix 2 – Science national curriculum</w:t>
      </w:r>
    </w:p>
    <w:bookmarkEnd w:id="30"/>
    <w:p w:rsidR="00C57F1F" w:rsidRPr="00C57F1F" w:rsidRDefault="00C57F1F" w:rsidP="003B55E8">
      <w:pPr>
        <w:jc w:val="both"/>
      </w:pPr>
      <w:r>
        <w:t xml:space="preserve">In accordance with the </w:t>
      </w:r>
      <w:r w:rsidR="003B55E8">
        <w:t>DfE’s</w:t>
      </w:r>
      <w:r w:rsidR="00A61CDA">
        <w:t xml:space="preserve"> ‘Sex and Relationship Education Guidance’ 2000, </w:t>
      </w:r>
      <w:r>
        <w:t>there are certain aspects of sex and relationship education which are compulsory for pupils to learn as they progress through the key stages.</w:t>
      </w:r>
    </w:p>
    <w:tbl>
      <w:tblPr>
        <w:tblStyle w:val="TableGrid"/>
        <w:tblW w:w="10031" w:type="dxa"/>
        <w:tblLook w:val="04A0" w:firstRow="1" w:lastRow="0" w:firstColumn="1" w:lastColumn="0" w:noHBand="0" w:noVBand="1"/>
      </w:tblPr>
      <w:tblGrid>
        <w:gridCol w:w="2660"/>
        <w:gridCol w:w="7371"/>
      </w:tblGrid>
      <w:tr w:rsidR="008606AC" w:rsidTr="00C57F1F">
        <w:trPr>
          <w:trHeight w:val="481"/>
        </w:trPr>
        <w:tc>
          <w:tcPr>
            <w:tcW w:w="2660" w:type="dxa"/>
            <w:shd w:val="clear" w:color="auto" w:fill="A5A5A5" w:themeFill="accent3"/>
            <w:vAlign w:val="center"/>
          </w:tcPr>
          <w:p w:rsidR="008606AC" w:rsidRPr="008606AC" w:rsidRDefault="008606AC" w:rsidP="008606AC">
            <w:pPr>
              <w:jc w:val="center"/>
              <w:rPr>
                <w:b/>
                <w:sz w:val="24"/>
              </w:rPr>
            </w:pPr>
            <w:r w:rsidRPr="008606AC">
              <w:rPr>
                <w:b/>
                <w:sz w:val="24"/>
              </w:rPr>
              <w:t>Key stage</w:t>
            </w:r>
          </w:p>
        </w:tc>
        <w:tc>
          <w:tcPr>
            <w:tcW w:w="7371" w:type="dxa"/>
            <w:shd w:val="clear" w:color="auto" w:fill="A5A5A5" w:themeFill="accent3"/>
            <w:vAlign w:val="center"/>
          </w:tcPr>
          <w:p w:rsidR="008606AC" w:rsidRPr="008606AC" w:rsidRDefault="00C57F1F" w:rsidP="00C57F1F">
            <w:pPr>
              <w:jc w:val="center"/>
              <w:rPr>
                <w:b/>
                <w:sz w:val="24"/>
              </w:rPr>
            </w:pPr>
            <w:r>
              <w:rPr>
                <w:b/>
                <w:sz w:val="24"/>
              </w:rPr>
              <w:t>Pupils must be taught:</w:t>
            </w:r>
          </w:p>
        </w:tc>
      </w:tr>
      <w:tr w:rsidR="008606AC" w:rsidTr="00AB2B41">
        <w:trPr>
          <w:trHeight w:val="842"/>
        </w:trPr>
        <w:tc>
          <w:tcPr>
            <w:tcW w:w="2660" w:type="dxa"/>
            <w:vAlign w:val="center"/>
          </w:tcPr>
          <w:p w:rsidR="008606AC" w:rsidRDefault="008606AC" w:rsidP="008606AC">
            <w:pPr>
              <w:jc w:val="center"/>
            </w:pPr>
            <w:r>
              <w:t>Key stage 1</w:t>
            </w:r>
          </w:p>
        </w:tc>
        <w:tc>
          <w:tcPr>
            <w:tcW w:w="7371" w:type="dxa"/>
            <w:vAlign w:val="center"/>
          </w:tcPr>
          <w:p w:rsidR="008606AC" w:rsidRDefault="00C57F1F" w:rsidP="00826F4C">
            <w:pPr>
              <w:pStyle w:val="ListParagraph"/>
              <w:numPr>
                <w:ilvl w:val="0"/>
                <w:numId w:val="11"/>
              </w:numPr>
            </w:pPr>
            <w:r>
              <w:t>That animals, including humans, move, feed, grow, use their senses and reproduce.</w:t>
            </w:r>
          </w:p>
          <w:p w:rsidR="00C57F1F" w:rsidRDefault="00C57F1F" w:rsidP="00826F4C">
            <w:pPr>
              <w:pStyle w:val="ListParagraph"/>
              <w:numPr>
                <w:ilvl w:val="0"/>
                <w:numId w:val="11"/>
              </w:numPr>
            </w:pPr>
            <w:r>
              <w:t>To recognise and compare the main external parts of the bodies of humans.</w:t>
            </w:r>
          </w:p>
          <w:p w:rsidR="00C57F1F" w:rsidRDefault="00C57F1F" w:rsidP="00826F4C">
            <w:pPr>
              <w:pStyle w:val="ListParagraph"/>
              <w:numPr>
                <w:ilvl w:val="0"/>
                <w:numId w:val="11"/>
              </w:numPr>
            </w:pPr>
            <w:r>
              <w:t>That humans and animals can produce offspring, and they grow into adults.</w:t>
            </w:r>
          </w:p>
          <w:p w:rsidR="00C57F1F" w:rsidRDefault="00C57F1F" w:rsidP="00826F4C">
            <w:pPr>
              <w:pStyle w:val="ListParagraph"/>
              <w:numPr>
                <w:ilvl w:val="0"/>
                <w:numId w:val="11"/>
              </w:numPr>
            </w:pPr>
            <w:r>
              <w:t>To recognise similarities and differences between themselves and others.</w:t>
            </w:r>
          </w:p>
          <w:p w:rsidR="00C57F1F" w:rsidRDefault="00C57F1F" w:rsidP="00826F4C">
            <w:pPr>
              <w:pStyle w:val="ListParagraph"/>
              <w:numPr>
                <w:ilvl w:val="0"/>
                <w:numId w:val="11"/>
              </w:numPr>
            </w:pPr>
            <w:r>
              <w:t>To treat others with sensitivity.</w:t>
            </w:r>
            <w:r w:rsidR="00081C2A">
              <w:t xml:space="preserve"> </w:t>
            </w:r>
          </w:p>
        </w:tc>
      </w:tr>
      <w:tr w:rsidR="008606AC" w:rsidTr="00A61CDA">
        <w:trPr>
          <w:trHeight w:val="1018"/>
        </w:trPr>
        <w:tc>
          <w:tcPr>
            <w:tcW w:w="2660" w:type="dxa"/>
            <w:vAlign w:val="center"/>
          </w:tcPr>
          <w:p w:rsidR="008606AC" w:rsidRDefault="008606AC" w:rsidP="008606AC">
            <w:pPr>
              <w:jc w:val="center"/>
            </w:pPr>
            <w:r>
              <w:t>Key stage 2</w:t>
            </w:r>
          </w:p>
        </w:tc>
        <w:tc>
          <w:tcPr>
            <w:tcW w:w="7371" w:type="dxa"/>
            <w:vAlign w:val="center"/>
          </w:tcPr>
          <w:p w:rsidR="00C57F1F" w:rsidRDefault="00C57F1F" w:rsidP="00826F4C">
            <w:pPr>
              <w:pStyle w:val="ListParagraph"/>
              <w:numPr>
                <w:ilvl w:val="0"/>
                <w:numId w:val="12"/>
              </w:numPr>
            </w:pPr>
            <w:r>
              <w:t>That nutrition, growth and reproduction are common life processes for humans and other animals.</w:t>
            </w:r>
          </w:p>
          <w:p w:rsidR="008606AC" w:rsidRDefault="00C57F1F" w:rsidP="00826F4C">
            <w:pPr>
              <w:pStyle w:val="ListParagraph"/>
              <w:numPr>
                <w:ilvl w:val="0"/>
                <w:numId w:val="12"/>
              </w:numPr>
            </w:pPr>
            <w:r>
              <w:t>About the main stages of the human life cycle.</w:t>
            </w:r>
          </w:p>
        </w:tc>
      </w:tr>
      <w:tr w:rsidR="008606AC" w:rsidTr="00AB2B41">
        <w:trPr>
          <w:trHeight w:val="1984"/>
        </w:trPr>
        <w:tc>
          <w:tcPr>
            <w:tcW w:w="2660" w:type="dxa"/>
            <w:vAlign w:val="center"/>
          </w:tcPr>
          <w:p w:rsidR="008606AC" w:rsidRDefault="008606AC" w:rsidP="008606AC">
            <w:pPr>
              <w:jc w:val="center"/>
            </w:pPr>
            <w:r>
              <w:t>Key stage 3</w:t>
            </w:r>
          </w:p>
        </w:tc>
        <w:tc>
          <w:tcPr>
            <w:tcW w:w="7371" w:type="dxa"/>
            <w:vAlign w:val="center"/>
          </w:tcPr>
          <w:p w:rsidR="008606AC" w:rsidRDefault="00C57F1F" w:rsidP="00826F4C">
            <w:pPr>
              <w:pStyle w:val="ListParagraph"/>
              <w:numPr>
                <w:ilvl w:val="0"/>
                <w:numId w:val="13"/>
              </w:numPr>
            </w:pPr>
            <w:r>
              <w:t>That fertilisation in humans is the fusion between the egg and sperm.</w:t>
            </w:r>
          </w:p>
          <w:p w:rsidR="00C57F1F" w:rsidRDefault="00C57F1F" w:rsidP="00826F4C">
            <w:pPr>
              <w:pStyle w:val="ListParagraph"/>
              <w:numPr>
                <w:ilvl w:val="0"/>
                <w:numId w:val="13"/>
              </w:numPr>
            </w:pPr>
            <w:r>
              <w:t>About the physical and emotional changes that take place during adolescence.</w:t>
            </w:r>
          </w:p>
          <w:p w:rsidR="00C57F1F" w:rsidRDefault="00C57F1F" w:rsidP="00826F4C">
            <w:pPr>
              <w:pStyle w:val="ListParagraph"/>
              <w:numPr>
                <w:ilvl w:val="0"/>
                <w:numId w:val="13"/>
              </w:numPr>
            </w:pPr>
            <w:r>
              <w:t>How the foetus grows and develops.</w:t>
            </w:r>
          </w:p>
          <w:p w:rsidR="00C57F1F" w:rsidRDefault="00C57F1F" w:rsidP="00826F4C">
            <w:pPr>
              <w:pStyle w:val="ListParagraph"/>
              <w:numPr>
                <w:ilvl w:val="0"/>
                <w:numId w:val="13"/>
              </w:numPr>
            </w:pPr>
            <w:r>
              <w:t>How the growth and reproduction of bacteria and viruses can affect health.</w:t>
            </w:r>
          </w:p>
        </w:tc>
      </w:tr>
      <w:tr w:rsidR="008606AC" w:rsidTr="00AB2B41">
        <w:trPr>
          <w:trHeight w:val="1700"/>
        </w:trPr>
        <w:tc>
          <w:tcPr>
            <w:tcW w:w="2660" w:type="dxa"/>
            <w:vAlign w:val="center"/>
          </w:tcPr>
          <w:p w:rsidR="008606AC" w:rsidRDefault="008606AC" w:rsidP="008606AC">
            <w:pPr>
              <w:jc w:val="center"/>
            </w:pPr>
            <w:r>
              <w:t>Key stage 4</w:t>
            </w:r>
          </w:p>
        </w:tc>
        <w:tc>
          <w:tcPr>
            <w:tcW w:w="7371" w:type="dxa"/>
            <w:vAlign w:val="center"/>
          </w:tcPr>
          <w:p w:rsidR="008606AC" w:rsidRDefault="00C57F1F" w:rsidP="00826F4C">
            <w:pPr>
              <w:pStyle w:val="ListParagraph"/>
              <w:numPr>
                <w:ilvl w:val="0"/>
                <w:numId w:val="14"/>
              </w:numPr>
            </w:pPr>
            <w:r>
              <w:t>The way in which hormonal control occurs, including the effects of sex hormones.</w:t>
            </w:r>
          </w:p>
          <w:p w:rsidR="00C57F1F" w:rsidRDefault="00C57F1F" w:rsidP="00826F4C">
            <w:pPr>
              <w:pStyle w:val="ListParagraph"/>
              <w:numPr>
                <w:ilvl w:val="0"/>
                <w:numId w:val="14"/>
              </w:numPr>
            </w:pPr>
            <w:r>
              <w:t>The medical uses of some hormones, including the control of fertility.</w:t>
            </w:r>
          </w:p>
          <w:p w:rsidR="00C57F1F" w:rsidRDefault="00C57F1F" w:rsidP="00826F4C">
            <w:pPr>
              <w:pStyle w:val="ListParagraph"/>
              <w:numPr>
                <w:ilvl w:val="0"/>
                <w:numId w:val="14"/>
              </w:numPr>
            </w:pPr>
            <w:r>
              <w:t>The defence mechanisms of the body.</w:t>
            </w:r>
          </w:p>
          <w:p w:rsidR="00C57F1F" w:rsidRDefault="00C57F1F" w:rsidP="00826F4C">
            <w:pPr>
              <w:pStyle w:val="ListParagraph"/>
              <w:numPr>
                <w:ilvl w:val="0"/>
                <w:numId w:val="14"/>
              </w:numPr>
            </w:pPr>
            <w:r>
              <w:t>How sex is determined in humans.</w:t>
            </w:r>
          </w:p>
        </w:tc>
      </w:tr>
    </w:tbl>
    <w:p w:rsidR="00B47EA6" w:rsidRDefault="00B47EA6" w:rsidP="00BE1A83"/>
    <w:p w:rsidR="001C7100" w:rsidRDefault="001C7100"/>
    <w:sectPr w:rsidR="001C7100" w:rsidSect="001C7100">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1B3" w:rsidRDefault="005C21B3" w:rsidP="00AD4155">
      <w:pPr>
        <w:spacing w:after="0" w:line="240" w:lineRule="auto"/>
      </w:pPr>
      <w:r>
        <w:separator/>
      </w:r>
    </w:p>
  </w:endnote>
  <w:endnote w:type="continuationSeparator" w:id="0">
    <w:p w:rsidR="005C21B3" w:rsidRDefault="005C21B3"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E0F90B3-12F8-41D6-B776-F495BAF8CFFF}"/>
  </w:font>
  <w:font w:name="Trebuchet MS">
    <w:panose1 w:val="020B0603020202020204"/>
    <w:charset w:val="00"/>
    <w:family w:val="swiss"/>
    <w:pitch w:val="variable"/>
    <w:sig w:usb0="00000687" w:usb1="00000000" w:usb2="00000000" w:usb3="00000000" w:csb0="0000009F" w:csb1="00000000"/>
    <w:embedBold r:id="rId2" w:fontKey="{ADFC4824-F3C4-409C-9108-0CB2C8CAF97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8BB" w:rsidRDefault="007608BB">
    <w:pPr>
      <w:pStyle w:val="Footer"/>
    </w:pPr>
  </w:p>
  <w:p w:rsidR="007608BB" w:rsidRDefault="00760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5204D2" w:rsidRPr="005204D2" w:rsidTr="00540E37">
      <w:tc>
        <w:tcPr>
          <w:tcW w:w="10314" w:type="dxa"/>
          <w:shd w:val="clear" w:color="auto" w:fill="CCFFCC"/>
        </w:tcPr>
        <w:p w:rsidR="005204D2" w:rsidRPr="005204D2" w:rsidRDefault="005204D2" w:rsidP="005204D2">
          <w:pPr>
            <w:pStyle w:val="Footer"/>
            <w:rPr>
              <w:b/>
              <w:lang w:val="en-US"/>
            </w:rPr>
          </w:pPr>
          <w:r>
            <w:rPr>
              <w:b/>
              <w:lang w:val="en-US"/>
            </w:rPr>
            <w:t xml:space="preserve">Relationship </w:t>
          </w:r>
          <w:r w:rsidRPr="005204D2">
            <w:rPr>
              <w:b/>
              <w:lang w:val="en-US"/>
            </w:rPr>
            <w:t>Policy</w:t>
          </w:r>
        </w:p>
      </w:tc>
    </w:tr>
  </w:tbl>
  <w:p w:rsidR="005204D2" w:rsidRPr="005204D2" w:rsidRDefault="005204D2" w:rsidP="005204D2">
    <w:pPr>
      <w:pStyle w:val="Foo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696"/>
      <w:gridCol w:w="3258"/>
      <w:gridCol w:w="3240"/>
    </w:tblGrid>
    <w:tr w:rsidR="005204D2" w:rsidRPr="005204D2" w:rsidTr="00540E37">
      <w:tc>
        <w:tcPr>
          <w:tcW w:w="1183" w:type="dxa"/>
          <w:shd w:val="clear" w:color="auto" w:fill="CCFFCC"/>
        </w:tcPr>
        <w:p w:rsidR="005204D2" w:rsidRPr="005204D2" w:rsidRDefault="005204D2" w:rsidP="005204D2">
          <w:pPr>
            <w:pStyle w:val="Footer"/>
            <w:rPr>
              <w:b/>
              <w:lang w:val="en-US"/>
            </w:rPr>
          </w:pPr>
          <w:r w:rsidRPr="005204D2">
            <w:rPr>
              <w:b/>
              <w:lang w:val="en-US"/>
            </w:rPr>
            <w:t>Date</w:t>
          </w:r>
        </w:p>
      </w:tc>
      <w:tc>
        <w:tcPr>
          <w:tcW w:w="1747" w:type="dxa"/>
          <w:shd w:val="clear" w:color="auto" w:fill="CCFFCC"/>
        </w:tcPr>
        <w:p w:rsidR="005204D2" w:rsidRPr="005204D2" w:rsidRDefault="005204D2" w:rsidP="005204D2">
          <w:pPr>
            <w:pStyle w:val="Footer"/>
            <w:rPr>
              <w:b/>
              <w:lang w:val="en-US"/>
            </w:rPr>
          </w:pPr>
          <w:r w:rsidRPr="005204D2">
            <w:rPr>
              <w:b/>
              <w:lang w:val="en-US"/>
            </w:rPr>
            <w:t>Review Date</w:t>
          </w:r>
        </w:p>
      </w:tc>
      <w:tc>
        <w:tcPr>
          <w:tcW w:w="3383" w:type="dxa"/>
          <w:shd w:val="clear" w:color="auto" w:fill="CCFFCC"/>
        </w:tcPr>
        <w:p w:rsidR="005204D2" w:rsidRPr="005204D2" w:rsidRDefault="005204D2" w:rsidP="005204D2">
          <w:pPr>
            <w:pStyle w:val="Footer"/>
            <w:rPr>
              <w:b/>
              <w:lang w:val="en-US"/>
            </w:rPr>
          </w:pPr>
          <w:r w:rsidRPr="005204D2">
            <w:rPr>
              <w:b/>
              <w:lang w:val="en-US"/>
            </w:rPr>
            <w:t>Coordinator</w:t>
          </w:r>
        </w:p>
      </w:tc>
      <w:tc>
        <w:tcPr>
          <w:tcW w:w="3373" w:type="dxa"/>
          <w:shd w:val="clear" w:color="auto" w:fill="CCFFCC"/>
        </w:tcPr>
        <w:p w:rsidR="005204D2" w:rsidRPr="005204D2" w:rsidRDefault="005204D2" w:rsidP="005204D2">
          <w:pPr>
            <w:pStyle w:val="Footer"/>
            <w:rPr>
              <w:b/>
              <w:lang w:val="en-US"/>
            </w:rPr>
          </w:pPr>
          <w:r w:rsidRPr="005204D2">
            <w:rPr>
              <w:b/>
              <w:lang w:val="en-US"/>
            </w:rPr>
            <w:t>Nominated Governor</w:t>
          </w:r>
        </w:p>
      </w:tc>
    </w:tr>
    <w:tr w:rsidR="005204D2" w:rsidRPr="005204D2" w:rsidTr="00540E37">
      <w:tc>
        <w:tcPr>
          <w:tcW w:w="1183" w:type="dxa"/>
        </w:tcPr>
        <w:p w:rsidR="005204D2" w:rsidRPr="005204D2" w:rsidRDefault="008B0153" w:rsidP="005204D2">
          <w:pPr>
            <w:pStyle w:val="Footer"/>
            <w:rPr>
              <w:b/>
              <w:lang w:val="en-US"/>
            </w:rPr>
          </w:pPr>
          <w:r>
            <w:rPr>
              <w:b/>
              <w:lang w:val="en-US"/>
            </w:rPr>
            <w:t>Nov</w:t>
          </w:r>
          <w:r w:rsidR="005A0899">
            <w:rPr>
              <w:b/>
              <w:lang w:val="en-US"/>
            </w:rPr>
            <w:t xml:space="preserve"> 202</w:t>
          </w:r>
          <w:r>
            <w:rPr>
              <w:b/>
              <w:lang w:val="en-US"/>
            </w:rPr>
            <w:t>1</w:t>
          </w:r>
        </w:p>
      </w:tc>
      <w:tc>
        <w:tcPr>
          <w:tcW w:w="1747" w:type="dxa"/>
        </w:tcPr>
        <w:p w:rsidR="005204D2" w:rsidRPr="005204D2" w:rsidRDefault="008B0153" w:rsidP="005204D2">
          <w:pPr>
            <w:pStyle w:val="Footer"/>
            <w:rPr>
              <w:b/>
              <w:lang w:val="en-US"/>
            </w:rPr>
          </w:pPr>
          <w:r>
            <w:rPr>
              <w:b/>
              <w:lang w:val="en-US"/>
            </w:rPr>
            <w:t>Nov</w:t>
          </w:r>
          <w:r w:rsidR="005A0899">
            <w:rPr>
              <w:b/>
              <w:lang w:val="en-US"/>
            </w:rPr>
            <w:t xml:space="preserve"> 202</w:t>
          </w:r>
          <w:r>
            <w:rPr>
              <w:b/>
              <w:lang w:val="en-US"/>
            </w:rPr>
            <w:t>3</w:t>
          </w:r>
        </w:p>
      </w:tc>
      <w:tc>
        <w:tcPr>
          <w:tcW w:w="3383" w:type="dxa"/>
        </w:tcPr>
        <w:p w:rsidR="005204D2" w:rsidRPr="005204D2" w:rsidRDefault="005204D2" w:rsidP="005204D2">
          <w:pPr>
            <w:pStyle w:val="Footer"/>
            <w:rPr>
              <w:b/>
              <w:lang w:val="en-US"/>
            </w:rPr>
          </w:pPr>
          <w:r w:rsidRPr="005204D2">
            <w:rPr>
              <w:b/>
              <w:lang w:val="en-US"/>
            </w:rPr>
            <w:t>Miss Hendry</w:t>
          </w:r>
        </w:p>
      </w:tc>
      <w:tc>
        <w:tcPr>
          <w:tcW w:w="3373" w:type="dxa"/>
        </w:tcPr>
        <w:p w:rsidR="005204D2" w:rsidRPr="005204D2" w:rsidRDefault="005204D2" w:rsidP="005204D2">
          <w:pPr>
            <w:pStyle w:val="Footer"/>
            <w:rPr>
              <w:b/>
              <w:lang w:val="en-US"/>
            </w:rPr>
          </w:pPr>
        </w:p>
      </w:tc>
    </w:tr>
    <w:tr w:rsidR="00BE074E" w:rsidRPr="005204D2" w:rsidTr="00540E37">
      <w:tc>
        <w:tcPr>
          <w:tcW w:w="1183" w:type="dxa"/>
        </w:tcPr>
        <w:p w:rsidR="00BE074E" w:rsidRDefault="00BE074E" w:rsidP="005204D2">
          <w:pPr>
            <w:pStyle w:val="Footer"/>
            <w:rPr>
              <w:b/>
              <w:lang w:val="en-US"/>
            </w:rPr>
          </w:pPr>
          <w:r>
            <w:rPr>
              <w:b/>
              <w:lang w:val="en-US"/>
            </w:rPr>
            <w:t>Sept 2024</w:t>
          </w:r>
        </w:p>
      </w:tc>
      <w:tc>
        <w:tcPr>
          <w:tcW w:w="1747" w:type="dxa"/>
        </w:tcPr>
        <w:p w:rsidR="00BE074E" w:rsidRDefault="00BE074E" w:rsidP="005204D2">
          <w:pPr>
            <w:pStyle w:val="Footer"/>
            <w:rPr>
              <w:b/>
              <w:lang w:val="en-US"/>
            </w:rPr>
          </w:pPr>
          <w:r>
            <w:rPr>
              <w:b/>
              <w:lang w:val="en-US"/>
            </w:rPr>
            <w:t>Sept 2026</w:t>
          </w:r>
        </w:p>
      </w:tc>
      <w:tc>
        <w:tcPr>
          <w:tcW w:w="3383" w:type="dxa"/>
        </w:tcPr>
        <w:p w:rsidR="00BE074E" w:rsidRPr="005204D2" w:rsidRDefault="00BE074E" w:rsidP="005204D2">
          <w:pPr>
            <w:pStyle w:val="Footer"/>
            <w:rPr>
              <w:b/>
              <w:lang w:val="en-US"/>
            </w:rPr>
          </w:pPr>
          <w:r>
            <w:rPr>
              <w:b/>
              <w:lang w:val="en-US"/>
            </w:rPr>
            <w:t>Miss Hendry</w:t>
          </w:r>
        </w:p>
      </w:tc>
      <w:tc>
        <w:tcPr>
          <w:tcW w:w="3373" w:type="dxa"/>
        </w:tcPr>
        <w:p w:rsidR="00BE074E" w:rsidRPr="005204D2" w:rsidRDefault="00BE074E" w:rsidP="005204D2">
          <w:pPr>
            <w:pStyle w:val="Footer"/>
            <w:rPr>
              <w:b/>
              <w:lang w:val="en-US"/>
            </w:rPr>
          </w:pPr>
        </w:p>
      </w:tc>
    </w:tr>
    <w:tr w:rsidR="005204D2" w:rsidRPr="005204D2" w:rsidTr="00540E37">
      <w:tc>
        <w:tcPr>
          <w:tcW w:w="2930" w:type="dxa"/>
          <w:gridSpan w:val="2"/>
        </w:tcPr>
        <w:p w:rsidR="005204D2" w:rsidRPr="005204D2" w:rsidRDefault="005204D2" w:rsidP="005204D2">
          <w:pPr>
            <w:pStyle w:val="Footer"/>
            <w:rPr>
              <w:b/>
              <w:lang w:val="en-US"/>
            </w:rPr>
          </w:pPr>
          <w:r w:rsidRPr="005204D2">
            <w:rPr>
              <w:b/>
              <w:lang w:val="en-US"/>
            </w:rPr>
            <w:t xml:space="preserve">Headteacher: </w:t>
          </w:r>
          <w:r w:rsidR="00BE074E">
            <w:rPr>
              <w:b/>
              <w:lang w:val="en-US"/>
            </w:rPr>
            <w:t>Adam Porter</w:t>
          </w:r>
        </w:p>
      </w:tc>
      <w:tc>
        <w:tcPr>
          <w:tcW w:w="6756" w:type="dxa"/>
          <w:gridSpan w:val="2"/>
        </w:tcPr>
        <w:p w:rsidR="005204D2" w:rsidRPr="005204D2" w:rsidRDefault="00E0745C" w:rsidP="005204D2">
          <w:pPr>
            <w:pStyle w:val="Footer"/>
            <w:rPr>
              <w:b/>
              <w:lang w:val="en-US"/>
            </w:rPr>
          </w:pPr>
          <w:r w:rsidRPr="00A946B1">
            <w:rPr>
              <w:rFonts w:ascii="Arial" w:eastAsia="Arial" w:hAnsi="Arial" w:cs="Times New Roman"/>
              <w:b/>
              <w:lang w:val="en-US"/>
            </w:rPr>
            <w:t>Chair of Governors:</w:t>
          </w:r>
          <w:r w:rsidRPr="00A946B1">
            <w:rPr>
              <w:rFonts w:ascii="Arial" w:eastAsia="Arial" w:hAnsi="Arial" w:cs="Times New Roman"/>
              <w:lang w:bidi="en-GB"/>
            </w:rPr>
            <w:t xml:space="preserve"> </w:t>
          </w:r>
          <w:r>
            <w:rPr>
              <w:rStyle w:val="Strong"/>
              <w:rFonts w:ascii="Arial" w:hAnsi="Arial" w:cs="Arial"/>
              <w:color w:val="000000"/>
              <w:shd w:val="clear" w:color="auto" w:fill="FFFFFF"/>
            </w:rPr>
            <w:t>Basharat Ali</w:t>
          </w:r>
        </w:p>
      </w:tc>
    </w:tr>
  </w:tbl>
  <w:p w:rsidR="005204D2" w:rsidRPr="005204D2" w:rsidRDefault="005204D2" w:rsidP="005204D2">
    <w:pPr>
      <w:pStyle w:val="Footer"/>
      <w:rPr>
        <w:lang w:val="en-US"/>
      </w:rPr>
    </w:pPr>
  </w:p>
  <w:p w:rsidR="005204D2" w:rsidRPr="005204D2" w:rsidRDefault="005204D2" w:rsidP="005204D2">
    <w:pPr>
      <w:pStyle w:val="Footer"/>
      <w:rPr>
        <w:lang w:bidi="en-GB"/>
      </w:rPr>
    </w:pPr>
  </w:p>
  <w:p w:rsidR="005204D2" w:rsidRPr="005204D2" w:rsidRDefault="005204D2" w:rsidP="005204D2">
    <w:pPr>
      <w:pStyle w:val="Footer"/>
      <w:rPr>
        <w:lang w:bidi="en-GB"/>
      </w:rPr>
    </w:pPr>
  </w:p>
  <w:p w:rsidR="005204D2" w:rsidRPr="005204D2" w:rsidRDefault="005204D2" w:rsidP="005204D2">
    <w:pPr>
      <w:pStyle w:val="Footer"/>
      <w:rPr>
        <w:lang w:bidi="en-GB"/>
      </w:rPr>
    </w:pPr>
  </w:p>
  <w:p w:rsidR="007608BB" w:rsidRDefault="00760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F34" w:rsidRDefault="00417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1B3" w:rsidRDefault="005C21B3" w:rsidP="00AD4155">
      <w:pPr>
        <w:spacing w:after="0" w:line="240" w:lineRule="auto"/>
      </w:pPr>
      <w:r>
        <w:separator/>
      </w:r>
    </w:p>
  </w:footnote>
  <w:footnote w:type="continuationSeparator" w:id="0">
    <w:p w:rsidR="005C21B3" w:rsidRDefault="005C21B3"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8BB" w:rsidRDefault="007608BB" w:rsidP="00186497">
    <w:pPr>
      <w:pStyle w:val="Header"/>
      <w:tabs>
        <w:tab w:val="clear" w:pos="4513"/>
        <w:tab w:val="clear" w:pos="9026"/>
        <w:tab w:val="left" w:pos="17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BA00"/>
    <w:multiLevelType w:val="hybridMultilevel"/>
    <w:tmpl w:val="E7C10D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26456E54"/>
    <w:multiLevelType w:val="hybridMultilevel"/>
    <w:tmpl w:val="96D2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67A5C"/>
    <w:multiLevelType w:val="hybridMultilevel"/>
    <w:tmpl w:val="C0BC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C22A1"/>
    <w:multiLevelType w:val="multilevel"/>
    <w:tmpl w:val="7C621AEA"/>
    <w:numStyleLink w:val="Style1"/>
  </w:abstractNum>
  <w:abstractNum w:abstractNumId="5" w15:restartNumberingAfterBreak="0">
    <w:nsid w:val="4F105DD4"/>
    <w:multiLevelType w:val="hybridMultilevel"/>
    <w:tmpl w:val="BE8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B45B30"/>
    <w:multiLevelType w:val="hybridMultilevel"/>
    <w:tmpl w:val="1B1A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A63EB"/>
    <w:multiLevelType w:val="hybridMultilevel"/>
    <w:tmpl w:val="3392C4D4"/>
    <w:lvl w:ilvl="0" w:tplc="8A86D79C">
      <w:start w:val="1"/>
      <w:numFmt w:val="bullet"/>
      <w:pStyle w:val="TSB-PolicyBullets"/>
      <w:lvlText w:val=""/>
      <w:lvlJc w:val="left"/>
      <w:pPr>
        <w:ind w:left="2934" w:hanging="360"/>
      </w:pPr>
      <w:rPr>
        <w:rFonts w:ascii="Symbol" w:hAnsi="Symbol" w:hint="default"/>
      </w:rPr>
    </w:lvl>
    <w:lvl w:ilvl="1" w:tplc="08090003">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9" w15:restartNumberingAfterBreak="0">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843DBE"/>
    <w:multiLevelType w:val="hybridMultilevel"/>
    <w:tmpl w:val="AB80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10AFF"/>
    <w:multiLevelType w:val="hybridMultilevel"/>
    <w:tmpl w:val="B90EE704"/>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num w:numId="1">
    <w:abstractNumId w:val="10"/>
  </w:num>
  <w:num w:numId="2">
    <w:abstractNumId w:val="11"/>
  </w:num>
  <w:num w:numId="3">
    <w:abstractNumId w:val="6"/>
  </w:num>
  <w:num w:numId="4">
    <w:abstractNumId w:val="4"/>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8"/>
  </w:num>
  <w:num w:numId="7">
    <w:abstractNumId w:val="4"/>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9"/>
  </w:num>
  <w:num w:numId="9">
    <w:abstractNumId w:val="5"/>
  </w:num>
  <w:num w:numId="10">
    <w:abstractNumId w:val="13"/>
  </w:num>
  <w:num w:numId="11">
    <w:abstractNumId w:val="2"/>
  </w:num>
  <w:num w:numId="12">
    <w:abstractNumId w:val="7"/>
  </w:num>
  <w:num w:numId="13">
    <w:abstractNumId w:val="3"/>
  </w:num>
  <w:num w:numId="14">
    <w:abstractNumId w:val="12"/>
  </w:num>
  <w:num w:numId="15">
    <w:abstractNumId w:val="0"/>
  </w:num>
  <w:num w:numId="16">
    <w:abstractNumId w:val="4"/>
    <w:lvlOverride w:ilvl="0">
      <w:startOverride w:val="3"/>
      <w:lvl w:ilvl="0">
        <w:start w:val="3"/>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F4"/>
    <w:rsid w:val="00001A46"/>
    <w:rsid w:val="00004617"/>
    <w:rsid w:val="000100B6"/>
    <w:rsid w:val="0001177F"/>
    <w:rsid w:val="000118E2"/>
    <w:rsid w:val="00014CF2"/>
    <w:rsid w:val="00015C00"/>
    <w:rsid w:val="0002263A"/>
    <w:rsid w:val="0002379C"/>
    <w:rsid w:val="000309F5"/>
    <w:rsid w:val="000315D9"/>
    <w:rsid w:val="00037174"/>
    <w:rsid w:val="000402B3"/>
    <w:rsid w:val="00040C15"/>
    <w:rsid w:val="00040E9B"/>
    <w:rsid w:val="0004203D"/>
    <w:rsid w:val="00042069"/>
    <w:rsid w:val="000424D3"/>
    <w:rsid w:val="00043C14"/>
    <w:rsid w:val="00045BFE"/>
    <w:rsid w:val="00046675"/>
    <w:rsid w:val="000471E8"/>
    <w:rsid w:val="00047288"/>
    <w:rsid w:val="00056533"/>
    <w:rsid w:val="000567E2"/>
    <w:rsid w:val="000606F6"/>
    <w:rsid w:val="00065C6B"/>
    <w:rsid w:val="00080091"/>
    <w:rsid w:val="00080874"/>
    <w:rsid w:val="00081C2A"/>
    <w:rsid w:val="00082C0E"/>
    <w:rsid w:val="00091FEF"/>
    <w:rsid w:val="00095EF3"/>
    <w:rsid w:val="000A0675"/>
    <w:rsid w:val="000A6B9C"/>
    <w:rsid w:val="000A738F"/>
    <w:rsid w:val="000B1080"/>
    <w:rsid w:val="000B11F3"/>
    <w:rsid w:val="000B16CC"/>
    <w:rsid w:val="000B213E"/>
    <w:rsid w:val="000B44E5"/>
    <w:rsid w:val="000B4624"/>
    <w:rsid w:val="000B7B80"/>
    <w:rsid w:val="000C061E"/>
    <w:rsid w:val="000C7259"/>
    <w:rsid w:val="000D00DE"/>
    <w:rsid w:val="000D200A"/>
    <w:rsid w:val="000D32B6"/>
    <w:rsid w:val="000D618A"/>
    <w:rsid w:val="000D6CB9"/>
    <w:rsid w:val="000E006C"/>
    <w:rsid w:val="000E2C37"/>
    <w:rsid w:val="000E3A6F"/>
    <w:rsid w:val="000E451C"/>
    <w:rsid w:val="000E4979"/>
    <w:rsid w:val="000E6EDE"/>
    <w:rsid w:val="000F0BDC"/>
    <w:rsid w:val="000F2717"/>
    <w:rsid w:val="000F6641"/>
    <w:rsid w:val="000F7891"/>
    <w:rsid w:val="001027B0"/>
    <w:rsid w:val="00102F13"/>
    <w:rsid w:val="001041F9"/>
    <w:rsid w:val="00104487"/>
    <w:rsid w:val="00111AB1"/>
    <w:rsid w:val="00112B99"/>
    <w:rsid w:val="00114F0B"/>
    <w:rsid w:val="001161EF"/>
    <w:rsid w:val="00120214"/>
    <w:rsid w:val="00122ED0"/>
    <w:rsid w:val="0012519B"/>
    <w:rsid w:val="001274D5"/>
    <w:rsid w:val="00127C83"/>
    <w:rsid w:val="001352CE"/>
    <w:rsid w:val="00137C5D"/>
    <w:rsid w:val="001509F4"/>
    <w:rsid w:val="001635E9"/>
    <w:rsid w:val="00164909"/>
    <w:rsid w:val="001661E3"/>
    <w:rsid w:val="00166C2A"/>
    <w:rsid w:val="0017087A"/>
    <w:rsid w:val="001709BB"/>
    <w:rsid w:val="00171113"/>
    <w:rsid w:val="001756E9"/>
    <w:rsid w:val="001769DF"/>
    <w:rsid w:val="00180455"/>
    <w:rsid w:val="00182077"/>
    <w:rsid w:val="00185271"/>
    <w:rsid w:val="00186497"/>
    <w:rsid w:val="00191CCB"/>
    <w:rsid w:val="00194662"/>
    <w:rsid w:val="00196AEB"/>
    <w:rsid w:val="001977AF"/>
    <w:rsid w:val="001A18B6"/>
    <w:rsid w:val="001A1AF6"/>
    <w:rsid w:val="001A4B45"/>
    <w:rsid w:val="001A4BE7"/>
    <w:rsid w:val="001A6604"/>
    <w:rsid w:val="001A79FA"/>
    <w:rsid w:val="001B0D61"/>
    <w:rsid w:val="001B290B"/>
    <w:rsid w:val="001B4BEB"/>
    <w:rsid w:val="001B60C3"/>
    <w:rsid w:val="001B76C4"/>
    <w:rsid w:val="001C0534"/>
    <w:rsid w:val="001C173E"/>
    <w:rsid w:val="001C181C"/>
    <w:rsid w:val="001C3D56"/>
    <w:rsid w:val="001C55C2"/>
    <w:rsid w:val="001C6D2B"/>
    <w:rsid w:val="001C7100"/>
    <w:rsid w:val="001D0981"/>
    <w:rsid w:val="001E1528"/>
    <w:rsid w:val="001E18E3"/>
    <w:rsid w:val="001E1993"/>
    <w:rsid w:val="001E5AF6"/>
    <w:rsid w:val="001E5BB1"/>
    <w:rsid w:val="001E6910"/>
    <w:rsid w:val="001F0886"/>
    <w:rsid w:val="001F2C6F"/>
    <w:rsid w:val="001F3CFB"/>
    <w:rsid w:val="00201B4B"/>
    <w:rsid w:val="00201ED9"/>
    <w:rsid w:val="00204EF8"/>
    <w:rsid w:val="00206835"/>
    <w:rsid w:val="00207C5A"/>
    <w:rsid w:val="00212661"/>
    <w:rsid w:val="00220DF6"/>
    <w:rsid w:val="00223B14"/>
    <w:rsid w:val="002255EF"/>
    <w:rsid w:val="0022679D"/>
    <w:rsid w:val="002333A7"/>
    <w:rsid w:val="00234463"/>
    <w:rsid w:val="00235B5E"/>
    <w:rsid w:val="00237B28"/>
    <w:rsid w:val="00240743"/>
    <w:rsid w:val="00240E20"/>
    <w:rsid w:val="00241BCE"/>
    <w:rsid w:val="002455D7"/>
    <w:rsid w:val="002470C8"/>
    <w:rsid w:val="00251899"/>
    <w:rsid w:val="00253BCA"/>
    <w:rsid w:val="002636F6"/>
    <w:rsid w:val="0028203B"/>
    <w:rsid w:val="0028407E"/>
    <w:rsid w:val="00285028"/>
    <w:rsid w:val="0029265C"/>
    <w:rsid w:val="002975E2"/>
    <w:rsid w:val="002A2040"/>
    <w:rsid w:val="002A2A00"/>
    <w:rsid w:val="002A43B2"/>
    <w:rsid w:val="002A719E"/>
    <w:rsid w:val="002B001D"/>
    <w:rsid w:val="002B6711"/>
    <w:rsid w:val="002B732D"/>
    <w:rsid w:val="002C20A7"/>
    <w:rsid w:val="002C220C"/>
    <w:rsid w:val="002C3AF5"/>
    <w:rsid w:val="002C4AE2"/>
    <w:rsid w:val="002C64EB"/>
    <w:rsid w:val="002C7582"/>
    <w:rsid w:val="002D0A71"/>
    <w:rsid w:val="002D10F0"/>
    <w:rsid w:val="002D349C"/>
    <w:rsid w:val="002D4754"/>
    <w:rsid w:val="002E2188"/>
    <w:rsid w:val="002E404D"/>
    <w:rsid w:val="002E6879"/>
    <w:rsid w:val="002F2CF8"/>
    <w:rsid w:val="003001A4"/>
    <w:rsid w:val="00302C29"/>
    <w:rsid w:val="00302ECC"/>
    <w:rsid w:val="00310EF5"/>
    <w:rsid w:val="003129E4"/>
    <w:rsid w:val="00313692"/>
    <w:rsid w:val="00314964"/>
    <w:rsid w:val="003239DF"/>
    <w:rsid w:val="003251F2"/>
    <w:rsid w:val="00330BD2"/>
    <w:rsid w:val="00330F8D"/>
    <w:rsid w:val="00332C7A"/>
    <w:rsid w:val="00350000"/>
    <w:rsid w:val="0035319B"/>
    <w:rsid w:val="00355D66"/>
    <w:rsid w:val="00356315"/>
    <w:rsid w:val="003573B4"/>
    <w:rsid w:val="00360133"/>
    <w:rsid w:val="00361211"/>
    <w:rsid w:val="003625AB"/>
    <w:rsid w:val="00364B95"/>
    <w:rsid w:val="00364F14"/>
    <w:rsid w:val="00365A0C"/>
    <w:rsid w:val="00370F77"/>
    <w:rsid w:val="003750BD"/>
    <w:rsid w:val="00375EB1"/>
    <w:rsid w:val="0037681B"/>
    <w:rsid w:val="003816C4"/>
    <w:rsid w:val="00382ADF"/>
    <w:rsid w:val="0039018A"/>
    <w:rsid w:val="003909B6"/>
    <w:rsid w:val="003932D7"/>
    <w:rsid w:val="00393B37"/>
    <w:rsid w:val="003957C7"/>
    <w:rsid w:val="003979AE"/>
    <w:rsid w:val="003A20DC"/>
    <w:rsid w:val="003A4236"/>
    <w:rsid w:val="003A4C04"/>
    <w:rsid w:val="003A5321"/>
    <w:rsid w:val="003A6AA1"/>
    <w:rsid w:val="003B0AE5"/>
    <w:rsid w:val="003B1ABB"/>
    <w:rsid w:val="003B25E8"/>
    <w:rsid w:val="003B2C96"/>
    <w:rsid w:val="003B55E8"/>
    <w:rsid w:val="003B628D"/>
    <w:rsid w:val="003B6B1E"/>
    <w:rsid w:val="003C0592"/>
    <w:rsid w:val="003C28EF"/>
    <w:rsid w:val="003C35A4"/>
    <w:rsid w:val="003C3C79"/>
    <w:rsid w:val="003C6DEF"/>
    <w:rsid w:val="003D4877"/>
    <w:rsid w:val="003D4CAA"/>
    <w:rsid w:val="003D7107"/>
    <w:rsid w:val="003E2874"/>
    <w:rsid w:val="003E379D"/>
    <w:rsid w:val="003E50AF"/>
    <w:rsid w:val="003E7CE4"/>
    <w:rsid w:val="003F05B5"/>
    <w:rsid w:val="003F0A4B"/>
    <w:rsid w:val="003F0D7A"/>
    <w:rsid w:val="003F2420"/>
    <w:rsid w:val="003F2E2E"/>
    <w:rsid w:val="003F5934"/>
    <w:rsid w:val="003F5C52"/>
    <w:rsid w:val="00402FF6"/>
    <w:rsid w:val="0040475D"/>
    <w:rsid w:val="00413263"/>
    <w:rsid w:val="00413367"/>
    <w:rsid w:val="004152DE"/>
    <w:rsid w:val="00416A63"/>
    <w:rsid w:val="00417B0C"/>
    <w:rsid w:val="00417DAB"/>
    <w:rsid w:val="00417F34"/>
    <w:rsid w:val="00426A96"/>
    <w:rsid w:val="00426B6A"/>
    <w:rsid w:val="00430A0C"/>
    <w:rsid w:val="00430D7A"/>
    <w:rsid w:val="00432D34"/>
    <w:rsid w:val="00432DA9"/>
    <w:rsid w:val="00433A66"/>
    <w:rsid w:val="0043497B"/>
    <w:rsid w:val="004354E8"/>
    <w:rsid w:val="00440470"/>
    <w:rsid w:val="00441947"/>
    <w:rsid w:val="004440B0"/>
    <w:rsid w:val="00444F88"/>
    <w:rsid w:val="00445161"/>
    <w:rsid w:val="00447D9E"/>
    <w:rsid w:val="0045368B"/>
    <w:rsid w:val="0045444D"/>
    <w:rsid w:val="0045782A"/>
    <w:rsid w:val="004578B1"/>
    <w:rsid w:val="00461D57"/>
    <w:rsid w:val="00462C4F"/>
    <w:rsid w:val="004639A1"/>
    <w:rsid w:val="00465987"/>
    <w:rsid w:val="00466259"/>
    <w:rsid w:val="00466355"/>
    <w:rsid w:val="00472C64"/>
    <w:rsid w:val="004749B4"/>
    <w:rsid w:val="00475044"/>
    <w:rsid w:val="00475594"/>
    <w:rsid w:val="00480C32"/>
    <w:rsid w:val="00482C00"/>
    <w:rsid w:val="00483FE0"/>
    <w:rsid w:val="004843E1"/>
    <w:rsid w:val="00485228"/>
    <w:rsid w:val="004856C3"/>
    <w:rsid w:val="00487590"/>
    <w:rsid w:val="00490625"/>
    <w:rsid w:val="00491F60"/>
    <w:rsid w:val="004951AA"/>
    <w:rsid w:val="004A2A51"/>
    <w:rsid w:val="004A4661"/>
    <w:rsid w:val="004A4984"/>
    <w:rsid w:val="004B0546"/>
    <w:rsid w:val="004B082E"/>
    <w:rsid w:val="004C0C85"/>
    <w:rsid w:val="004C1698"/>
    <w:rsid w:val="004C1B0D"/>
    <w:rsid w:val="004C44C5"/>
    <w:rsid w:val="004C4747"/>
    <w:rsid w:val="004C5DDB"/>
    <w:rsid w:val="004C69B5"/>
    <w:rsid w:val="004C6B7F"/>
    <w:rsid w:val="004D2AC3"/>
    <w:rsid w:val="004D36A1"/>
    <w:rsid w:val="004D5CF7"/>
    <w:rsid w:val="004E018D"/>
    <w:rsid w:val="004E4E2B"/>
    <w:rsid w:val="004F014D"/>
    <w:rsid w:val="004F03DD"/>
    <w:rsid w:val="004F1637"/>
    <w:rsid w:val="004F287D"/>
    <w:rsid w:val="004F364C"/>
    <w:rsid w:val="004F3F3D"/>
    <w:rsid w:val="004F62DC"/>
    <w:rsid w:val="005025ED"/>
    <w:rsid w:val="00503FE4"/>
    <w:rsid w:val="00504FA7"/>
    <w:rsid w:val="00510B45"/>
    <w:rsid w:val="00511050"/>
    <w:rsid w:val="005138C6"/>
    <w:rsid w:val="005177C4"/>
    <w:rsid w:val="005204D2"/>
    <w:rsid w:val="00522DC2"/>
    <w:rsid w:val="0052609A"/>
    <w:rsid w:val="00527A84"/>
    <w:rsid w:val="00533CC5"/>
    <w:rsid w:val="00551A23"/>
    <w:rsid w:val="00557FBC"/>
    <w:rsid w:val="00560CCA"/>
    <w:rsid w:val="00562D6D"/>
    <w:rsid w:val="00563A69"/>
    <w:rsid w:val="00566EA3"/>
    <w:rsid w:val="00570D08"/>
    <w:rsid w:val="00571D13"/>
    <w:rsid w:val="00583213"/>
    <w:rsid w:val="00583FC6"/>
    <w:rsid w:val="00585773"/>
    <w:rsid w:val="005918E9"/>
    <w:rsid w:val="00593D35"/>
    <w:rsid w:val="00596EFD"/>
    <w:rsid w:val="005970E7"/>
    <w:rsid w:val="00597AE2"/>
    <w:rsid w:val="00597FF3"/>
    <w:rsid w:val="005A0899"/>
    <w:rsid w:val="005A4FE2"/>
    <w:rsid w:val="005A72F8"/>
    <w:rsid w:val="005B132B"/>
    <w:rsid w:val="005B1C5F"/>
    <w:rsid w:val="005B268E"/>
    <w:rsid w:val="005C0C38"/>
    <w:rsid w:val="005C15E4"/>
    <w:rsid w:val="005C1C4B"/>
    <w:rsid w:val="005C21B3"/>
    <w:rsid w:val="005C31A9"/>
    <w:rsid w:val="005C7544"/>
    <w:rsid w:val="005D369B"/>
    <w:rsid w:val="005D391F"/>
    <w:rsid w:val="005D4EF0"/>
    <w:rsid w:val="005D79DA"/>
    <w:rsid w:val="005E041B"/>
    <w:rsid w:val="005E0AC7"/>
    <w:rsid w:val="005E412E"/>
    <w:rsid w:val="005F292F"/>
    <w:rsid w:val="005F3E9D"/>
    <w:rsid w:val="006006D4"/>
    <w:rsid w:val="00603B1D"/>
    <w:rsid w:val="006055E4"/>
    <w:rsid w:val="00610CE8"/>
    <w:rsid w:val="0061141D"/>
    <w:rsid w:val="00611CBC"/>
    <w:rsid w:val="00612D78"/>
    <w:rsid w:val="00613D2C"/>
    <w:rsid w:val="00626EF8"/>
    <w:rsid w:val="006272AA"/>
    <w:rsid w:val="00631F57"/>
    <w:rsid w:val="0064440E"/>
    <w:rsid w:val="0064490A"/>
    <w:rsid w:val="0064663F"/>
    <w:rsid w:val="00651A5D"/>
    <w:rsid w:val="00653A10"/>
    <w:rsid w:val="0065414D"/>
    <w:rsid w:val="0066442C"/>
    <w:rsid w:val="00665B41"/>
    <w:rsid w:val="00667F0F"/>
    <w:rsid w:val="0067438C"/>
    <w:rsid w:val="0067500B"/>
    <w:rsid w:val="00675537"/>
    <w:rsid w:val="006808B9"/>
    <w:rsid w:val="00680C23"/>
    <w:rsid w:val="00682EB6"/>
    <w:rsid w:val="0068332B"/>
    <w:rsid w:val="00683C65"/>
    <w:rsid w:val="00684ECC"/>
    <w:rsid w:val="00686EE1"/>
    <w:rsid w:val="006A6754"/>
    <w:rsid w:val="006A6F6A"/>
    <w:rsid w:val="006B2F2F"/>
    <w:rsid w:val="006B455C"/>
    <w:rsid w:val="006B77D1"/>
    <w:rsid w:val="006C2636"/>
    <w:rsid w:val="006C3085"/>
    <w:rsid w:val="006C531B"/>
    <w:rsid w:val="006D7F0C"/>
    <w:rsid w:val="006E203B"/>
    <w:rsid w:val="006E4D56"/>
    <w:rsid w:val="006E5714"/>
    <w:rsid w:val="006E6EA7"/>
    <w:rsid w:val="006E716B"/>
    <w:rsid w:val="006E770D"/>
    <w:rsid w:val="006F0B36"/>
    <w:rsid w:val="006F4770"/>
    <w:rsid w:val="00705091"/>
    <w:rsid w:val="0071489F"/>
    <w:rsid w:val="007169F5"/>
    <w:rsid w:val="007211A0"/>
    <w:rsid w:val="00721934"/>
    <w:rsid w:val="0072396F"/>
    <w:rsid w:val="00723DE9"/>
    <w:rsid w:val="007271AF"/>
    <w:rsid w:val="007273E6"/>
    <w:rsid w:val="007311A9"/>
    <w:rsid w:val="007325DC"/>
    <w:rsid w:val="0073611C"/>
    <w:rsid w:val="00741651"/>
    <w:rsid w:val="00741F25"/>
    <w:rsid w:val="00742389"/>
    <w:rsid w:val="00744EE0"/>
    <w:rsid w:val="00752A20"/>
    <w:rsid w:val="0075578B"/>
    <w:rsid w:val="007608BB"/>
    <w:rsid w:val="00762917"/>
    <w:rsid w:val="00764E0C"/>
    <w:rsid w:val="0076600A"/>
    <w:rsid w:val="00766C6A"/>
    <w:rsid w:val="00766EF5"/>
    <w:rsid w:val="00772CF4"/>
    <w:rsid w:val="007737C4"/>
    <w:rsid w:val="00776766"/>
    <w:rsid w:val="00777073"/>
    <w:rsid w:val="00780F85"/>
    <w:rsid w:val="00783359"/>
    <w:rsid w:val="007929DC"/>
    <w:rsid w:val="0079417D"/>
    <w:rsid w:val="007A066B"/>
    <w:rsid w:val="007A17AE"/>
    <w:rsid w:val="007A5742"/>
    <w:rsid w:val="007B104A"/>
    <w:rsid w:val="007B3138"/>
    <w:rsid w:val="007B3740"/>
    <w:rsid w:val="007B72E5"/>
    <w:rsid w:val="007C0E8C"/>
    <w:rsid w:val="007C7ED7"/>
    <w:rsid w:val="007D34D4"/>
    <w:rsid w:val="007D5B99"/>
    <w:rsid w:val="007E535E"/>
    <w:rsid w:val="007E7E23"/>
    <w:rsid w:val="007F1785"/>
    <w:rsid w:val="007F4B28"/>
    <w:rsid w:val="007F7982"/>
    <w:rsid w:val="00800008"/>
    <w:rsid w:val="0080065E"/>
    <w:rsid w:val="00800B78"/>
    <w:rsid w:val="008016C3"/>
    <w:rsid w:val="008067A3"/>
    <w:rsid w:val="00810848"/>
    <w:rsid w:val="00813091"/>
    <w:rsid w:val="00820145"/>
    <w:rsid w:val="00823B75"/>
    <w:rsid w:val="0082443C"/>
    <w:rsid w:val="00826F4C"/>
    <w:rsid w:val="00830707"/>
    <w:rsid w:val="0083174A"/>
    <w:rsid w:val="00846FF8"/>
    <w:rsid w:val="008475E6"/>
    <w:rsid w:val="00847A42"/>
    <w:rsid w:val="00847CDD"/>
    <w:rsid w:val="008521DD"/>
    <w:rsid w:val="008534A5"/>
    <w:rsid w:val="00854F34"/>
    <w:rsid w:val="00855367"/>
    <w:rsid w:val="00857C89"/>
    <w:rsid w:val="008606AC"/>
    <w:rsid w:val="00862FD4"/>
    <w:rsid w:val="00864B6A"/>
    <w:rsid w:val="00865449"/>
    <w:rsid w:val="00867141"/>
    <w:rsid w:val="008674AC"/>
    <w:rsid w:val="0087014D"/>
    <w:rsid w:val="00872F94"/>
    <w:rsid w:val="0087447C"/>
    <w:rsid w:val="00877D7B"/>
    <w:rsid w:val="008800F3"/>
    <w:rsid w:val="00883F81"/>
    <w:rsid w:val="00886EFD"/>
    <w:rsid w:val="0089113B"/>
    <w:rsid w:val="00892056"/>
    <w:rsid w:val="00894151"/>
    <w:rsid w:val="0089538C"/>
    <w:rsid w:val="0089581D"/>
    <w:rsid w:val="008A1B3F"/>
    <w:rsid w:val="008A25FA"/>
    <w:rsid w:val="008A3231"/>
    <w:rsid w:val="008A4101"/>
    <w:rsid w:val="008A7EF8"/>
    <w:rsid w:val="008B0153"/>
    <w:rsid w:val="008B2BDD"/>
    <w:rsid w:val="008B30E4"/>
    <w:rsid w:val="008B3E90"/>
    <w:rsid w:val="008B50BA"/>
    <w:rsid w:val="008B7E6D"/>
    <w:rsid w:val="008B7E80"/>
    <w:rsid w:val="008C1A59"/>
    <w:rsid w:val="008C1D03"/>
    <w:rsid w:val="008C2CD3"/>
    <w:rsid w:val="008C53AA"/>
    <w:rsid w:val="008C6894"/>
    <w:rsid w:val="008D1CEE"/>
    <w:rsid w:val="008D4F9D"/>
    <w:rsid w:val="008D56E2"/>
    <w:rsid w:val="008D57D4"/>
    <w:rsid w:val="008D67EA"/>
    <w:rsid w:val="008D67F0"/>
    <w:rsid w:val="008E3CAA"/>
    <w:rsid w:val="008E451A"/>
    <w:rsid w:val="008E4A9F"/>
    <w:rsid w:val="008E5549"/>
    <w:rsid w:val="008E5BE6"/>
    <w:rsid w:val="008E673A"/>
    <w:rsid w:val="008E7036"/>
    <w:rsid w:val="008E7B04"/>
    <w:rsid w:val="008F2879"/>
    <w:rsid w:val="008F301C"/>
    <w:rsid w:val="008F7925"/>
    <w:rsid w:val="00901990"/>
    <w:rsid w:val="00906D77"/>
    <w:rsid w:val="009106E3"/>
    <w:rsid w:val="00911CD5"/>
    <w:rsid w:val="00914FE4"/>
    <w:rsid w:val="00916653"/>
    <w:rsid w:val="00920445"/>
    <w:rsid w:val="00921DCB"/>
    <w:rsid w:val="00922BA1"/>
    <w:rsid w:val="00924FD5"/>
    <w:rsid w:val="00925A59"/>
    <w:rsid w:val="00926A67"/>
    <w:rsid w:val="00927253"/>
    <w:rsid w:val="009301FC"/>
    <w:rsid w:val="009302B7"/>
    <w:rsid w:val="00930395"/>
    <w:rsid w:val="00930E73"/>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72DC9"/>
    <w:rsid w:val="00977AA4"/>
    <w:rsid w:val="009804BA"/>
    <w:rsid w:val="009809C5"/>
    <w:rsid w:val="00981ACB"/>
    <w:rsid w:val="00983066"/>
    <w:rsid w:val="0098375A"/>
    <w:rsid w:val="00993A5C"/>
    <w:rsid w:val="00995AF2"/>
    <w:rsid w:val="009A078A"/>
    <w:rsid w:val="009A4F5C"/>
    <w:rsid w:val="009A5551"/>
    <w:rsid w:val="009B1A06"/>
    <w:rsid w:val="009B3E6F"/>
    <w:rsid w:val="009B4985"/>
    <w:rsid w:val="009B63A3"/>
    <w:rsid w:val="009B702B"/>
    <w:rsid w:val="009C1ACF"/>
    <w:rsid w:val="009C3EED"/>
    <w:rsid w:val="009C4014"/>
    <w:rsid w:val="009C72C0"/>
    <w:rsid w:val="009D1A1B"/>
    <w:rsid w:val="009D7C3D"/>
    <w:rsid w:val="009E278E"/>
    <w:rsid w:val="009E44FB"/>
    <w:rsid w:val="009F0D88"/>
    <w:rsid w:val="009F1103"/>
    <w:rsid w:val="009F268C"/>
    <w:rsid w:val="009F3A48"/>
    <w:rsid w:val="009F56C7"/>
    <w:rsid w:val="009F5952"/>
    <w:rsid w:val="009F59B9"/>
    <w:rsid w:val="00A0273C"/>
    <w:rsid w:val="00A06FE5"/>
    <w:rsid w:val="00A12F1B"/>
    <w:rsid w:val="00A15691"/>
    <w:rsid w:val="00A163C9"/>
    <w:rsid w:val="00A1763E"/>
    <w:rsid w:val="00A206BF"/>
    <w:rsid w:val="00A2078A"/>
    <w:rsid w:val="00A21769"/>
    <w:rsid w:val="00A21A3C"/>
    <w:rsid w:val="00A22D50"/>
    <w:rsid w:val="00A255CF"/>
    <w:rsid w:val="00A30472"/>
    <w:rsid w:val="00A3145F"/>
    <w:rsid w:val="00A31F06"/>
    <w:rsid w:val="00A32D3A"/>
    <w:rsid w:val="00A33ADD"/>
    <w:rsid w:val="00A33F35"/>
    <w:rsid w:val="00A34652"/>
    <w:rsid w:val="00A547CF"/>
    <w:rsid w:val="00A56499"/>
    <w:rsid w:val="00A57CB3"/>
    <w:rsid w:val="00A61CB9"/>
    <w:rsid w:val="00A61CDA"/>
    <w:rsid w:val="00A6540D"/>
    <w:rsid w:val="00A666B6"/>
    <w:rsid w:val="00A7242F"/>
    <w:rsid w:val="00A73591"/>
    <w:rsid w:val="00A74C4C"/>
    <w:rsid w:val="00A7597D"/>
    <w:rsid w:val="00A778BC"/>
    <w:rsid w:val="00A81B4E"/>
    <w:rsid w:val="00A82E67"/>
    <w:rsid w:val="00A83249"/>
    <w:rsid w:val="00A838EF"/>
    <w:rsid w:val="00AA24A8"/>
    <w:rsid w:val="00AB2B41"/>
    <w:rsid w:val="00AB43BC"/>
    <w:rsid w:val="00AB6F27"/>
    <w:rsid w:val="00AC0555"/>
    <w:rsid w:val="00AC09B5"/>
    <w:rsid w:val="00AC160E"/>
    <w:rsid w:val="00AC1882"/>
    <w:rsid w:val="00AC22CE"/>
    <w:rsid w:val="00AC2FA5"/>
    <w:rsid w:val="00AC5381"/>
    <w:rsid w:val="00AC76C9"/>
    <w:rsid w:val="00AC7D29"/>
    <w:rsid w:val="00AD0895"/>
    <w:rsid w:val="00AD0AEA"/>
    <w:rsid w:val="00AD2B43"/>
    <w:rsid w:val="00AD4155"/>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3258C"/>
    <w:rsid w:val="00B32F87"/>
    <w:rsid w:val="00B33428"/>
    <w:rsid w:val="00B370BA"/>
    <w:rsid w:val="00B41A97"/>
    <w:rsid w:val="00B42F4D"/>
    <w:rsid w:val="00B46687"/>
    <w:rsid w:val="00B47EA6"/>
    <w:rsid w:val="00B50959"/>
    <w:rsid w:val="00B611CA"/>
    <w:rsid w:val="00B615BD"/>
    <w:rsid w:val="00B666E4"/>
    <w:rsid w:val="00B72CFC"/>
    <w:rsid w:val="00B76721"/>
    <w:rsid w:val="00B81BF1"/>
    <w:rsid w:val="00B826AD"/>
    <w:rsid w:val="00B84B7B"/>
    <w:rsid w:val="00B85987"/>
    <w:rsid w:val="00B86FF4"/>
    <w:rsid w:val="00B877CC"/>
    <w:rsid w:val="00B92235"/>
    <w:rsid w:val="00B934B3"/>
    <w:rsid w:val="00B942D5"/>
    <w:rsid w:val="00B946AA"/>
    <w:rsid w:val="00BA08A1"/>
    <w:rsid w:val="00BA0E44"/>
    <w:rsid w:val="00BA5C49"/>
    <w:rsid w:val="00BB4F33"/>
    <w:rsid w:val="00BB5571"/>
    <w:rsid w:val="00BB7263"/>
    <w:rsid w:val="00BC018F"/>
    <w:rsid w:val="00BC7B61"/>
    <w:rsid w:val="00BD1FEF"/>
    <w:rsid w:val="00BD69AF"/>
    <w:rsid w:val="00BE074E"/>
    <w:rsid w:val="00BE1A83"/>
    <w:rsid w:val="00BE2881"/>
    <w:rsid w:val="00BE5C27"/>
    <w:rsid w:val="00BE67C9"/>
    <w:rsid w:val="00BE7DF8"/>
    <w:rsid w:val="00BF2BDC"/>
    <w:rsid w:val="00BF3127"/>
    <w:rsid w:val="00BF5916"/>
    <w:rsid w:val="00C04D41"/>
    <w:rsid w:val="00C04D58"/>
    <w:rsid w:val="00C0514B"/>
    <w:rsid w:val="00C0552D"/>
    <w:rsid w:val="00C16B6F"/>
    <w:rsid w:val="00C2487B"/>
    <w:rsid w:val="00C2668A"/>
    <w:rsid w:val="00C3785D"/>
    <w:rsid w:val="00C4082B"/>
    <w:rsid w:val="00C40B63"/>
    <w:rsid w:val="00C40B7C"/>
    <w:rsid w:val="00C47916"/>
    <w:rsid w:val="00C50E27"/>
    <w:rsid w:val="00C52D91"/>
    <w:rsid w:val="00C53416"/>
    <w:rsid w:val="00C54B21"/>
    <w:rsid w:val="00C55242"/>
    <w:rsid w:val="00C55C33"/>
    <w:rsid w:val="00C560CE"/>
    <w:rsid w:val="00C562AD"/>
    <w:rsid w:val="00C57F1F"/>
    <w:rsid w:val="00C61466"/>
    <w:rsid w:val="00C65463"/>
    <w:rsid w:val="00C66B3F"/>
    <w:rsid w:val="00C71CAC"/>
    <w:rsid w:val="00C72015"/>
    <w:rsid w:val="00C73B22"/>
    <w:rsid w:val="00C75B5A"/>
    <w:rsid w:val="00C8206B"/>
    <w:rsid w:val="00C82610"/>
    <w:rsid w:val="00C8446D"/>
    <w:rsid w:val="00C844C8"/>
    <w:rsid w:val="00C84522"/>
    <w:rsid w:val="00C86459"/>
    <w:rsid w:val="00C869E2"/>
    <w:rsid w:val="00C8723B"/>
    <w:rsid w:val="00C90FE4"/>
    <w:rsid w:val="00C91830"/>
    <w:rsid w:val="00C91BAD"/>
    <w:rsid w:val="00C95D0F"/>
    <w:rsid w:val="00CA01C6"/>
    <w:rsid w:val="00CA2648"/>
    <w:rsid w:val="00CA4B7C"/>
    <w:rsid w:val="00CA6012"/>
    <w:rsid w:val="00CB2979"/>
    <w:rsid w:val="00CB3551"/>
    <w:rsid w:val="00CB6DB3"/>
    <w:rsid w:val="00CC4820"/>
    <w:rsid w:val="00CC5483"/>
    <w:rsid w:val="00CC7DCD"/>
    <w:rsid w:val="00CD0982"/>
    <w:rsid w:val="00CD20CB"/>
    <w:rsid w:val="00CD2975"/>
    <w:rsid w:val="00CD6512"/>
    <w:rsid w:val="00CE2ED6"/>
    <w:rsid w:val="00CE3936"/>
    <w:rsid w:val="00CE5026"/>
    <w:rsid w:val="00CF0D45"/>
    <w:rsid w:val="00CF47ED"/>
    <w:rsid w:val="00CF7411"/>
    <w:rsid w:val="00D067C0"/>
    <w:rsid w:val="00D06B48"/>
    <w:rsid w:val="00D112AA"/>
    <w:rsid w:val="00D157FF"/>
    <w:rsid w:val="00D16710"/>
    <w:rsid w:val="00D16E5F"/>
    <w:rsid w:val="00D244CB"/>
    <w:rsid w:val="00D251E5"/>
    <w:rsid w:val="00D35B28"/>
    <w:rsid w:val="00D36009"/>
    <w:rsid w:val="00D37437"/>
    <w:rsid w:val="00D37D0B"/>
    <w:rsid w:val="00D403D5"/>
    <w:rsid w:val="00D40690"/>
    <w:rsid w:val="00D40E30"/>
    <w:rsid w:val="00D4270D"/>
    <w:rsid w:val="00D43792"/>
    <w:rsid w:val="00D471B7"/>
    <w:rsid w:val="00D50DEA"/>
    <w:rsid w:val="00D51BE9"/>
    <w:rsid w:val="00D51E45"/>
    <w:rsid w:val="00D53967"/>
    <w:rsid w:val="00D540A7"/>
    <w:rsid w:val="00D55C4F"/>
    <w:rsid w:val="00D6119F"/>
    <w:rsid w:val="00D62DC7"/>
    <w:rsid w:val="00D66831"/>
    <w:rsid w:val="00D673EF"/>
    <w:rsid w:val="00D70413"/>
    <w:rsid w:val="00D70A81"/>
    <w:rsid w:val="00D71EFE"/>
    <w:rsid w:val="00D748C2"/>
    <w:rsid w:val="00D7530D"/>
    <w:rsid w:val="00D86082"/>
    <w:rsid w:val="00D87076"/>
    <w:rsid w:val="00D9522E"/>
    <w:rsid w:val="00D96E4C"/>
    <w:rsid w:val="00DA3947"/>
    <w:rsid w:val="00DA4E5D"/>
    <w:rsid w:val="00DA4EDB"/>
    <w:rsid w:val="00DA5D36"/>
    <w:rsid w:val="00DB7361"/>
    <w:rsid w:val="00DC6934"/>
    <w:rsid w:val="00DC6B61"/>
    <w:rsid w:val="00DC75B6"/>
    <w:rsid w:val="00DC7ED7"/>
    <w:rsid w:val="00DD3C82"/>
    <w:rsid w:val="00DD3D7E"/>
    <w:rsid w:val="00DD788B"/>
    <w:rsid w:val="00DE0133"/>
    <w:rsid w:val="00DE4687"/>
    <w:rsid w:val="00DE572B"/>
    <w:rsid w:val="00DF1F47"/>
    <w:rsid w:val="00DF569C"/>
    <w:rsid w:val="00DF73DB"/>
    <w:rsid w:val="00DF7667"/>
    <w:rsid w:val="00E05A78"/>
    <w:rsid w:val="00E0745C"/>
    <w:rsid w:val="00E0759D"/>
    <w:rsid w:val="00E14F08"/>
    <w:rsid w:val="00E15327"/>
    <w:rsid w:val="00E15ECB"/>
    <w:rsid w:val="00E1780F"/>
    <w:rsid w:val="00E20992"/>
    <w:rsid w:val="00E228D7"/>
    <w:rsid w:val="00E23C56"/>
    <w:rsid w:val="00E3160D"/>
    <w:rsid w:val="00E37B36"/>
    <w:rsid w:val="00E40A6E"/>
    <w:rsid w:val="00E40CED"/>
    <w:rsid w:val="00E41881"/>
    <w:rsid w:val="00E440C0"/>
    <w:rsid w:val="00E44E26"/>
    <w:rsid w:val="00E46CA4"/>
    <w:rsid w:val="00E4705C"/>
    <w:rsid w:val="00E51116"/>
    <w:rsid w:val="00E524CD"/>
    <w:rsid w:val="00E52CB1"/>
    <w:rsid w:val="00E550A7"/>
    <w:rsid w:val="00E55771"/>
    <w:rsid w:val="00E56EAB"/>
    <w:rsid w:val="00E6064D"/>
    <w:rsid w:val="00E61271"/>
    <w:rsid w:val="00E627C5"/>
    <w:rsid w:val="00E648AA"/>
    <w:rsid w:val="00E65387"/>
    <w:rsid w:val="00E678A4"/>
    <w:rsid w:val="00E71161"/>
    <w:rsid w:val="00E71253"/>
    <w:rsid w:val="00E76457"/>
    <w:rsid w:val="00E818E2"/>
    <w:rsid w:val="00E91F7C"/>
    <w:rsid w:val="00E9293C"/>
    <w:rsid w:val="00E95003"/>
    <w:rsid w:val="00EA33C1"/>
    <w:rsid w:val="00EA39E1"/>
    <w:rsid w:val="00EB05DE"/>
    <w:rsid w:val="00EB0621"/>
    <w:rsid w:val="00EB374D"/>
    <w:rsid w:val="00EB649E"/>
    <w:rsid w:val="00EB6940"/>
    <w:rsid w:val="00EC0587"/>
    <w:rsid w:val="00EC0798"/>
    <w:rsid w:val="00EC1198"/>
    <w:rsid w:val="00EC1520"/>
    <w:rsid w:val="00EC3908"/>
    <w:rsid w:val="00ED23A0"/>
    <w:rsid w:val="00ED5994"/>
    <w:rsid w:val="00EE412A"/>
    <w:rsid w:val="00EE4B44"/>
    <w:rsid w:val="00EE6A77"/>
    <w:rsid w:val="00EE7E62"/>
    <w:rsid w:val="00EF68C5"/>
    <w:rsid w:val="00F01532"/>
    <w:rsid w:val="00F02293"/>
    <w:rsid w:val="00F07361"/>
    <w:rsid w:val="00F07DC1"/>
    <w:rsid w:val="00F12615"/>
    <w:rsid w:val="00F17B92"/>
    <w:rsid w:val="00F21E78"/>
    <w:rsid w:val="00F22AFA"/>
    <w:rsid w:val="00F27AC8"/>
    <w:rsid w:val="00F31337"/>
    <w:rsid w:val="00F32AD6"/>
    <w:rsid w:val="00F34E4E"/>
    <w:rsid w:val="00F45E9D"/>
    <w:rsid w:val="00F46669"/>
    <w:rsid w:val="00F54992"/>
    <w:rsid w:val="00F5549C"/>
    <w:rsid w:val="00F61CA5"/>
    <w:rsid w:val="00F64AB8"/>
    <w:rsid w:val="00F64AED"/>
    <w:rsid w:val="00F64C56"/>
    <w:rsid w:val="00F66720"/>
    <w:rsid w:val="00F67F3D"/>
    <w:rsid w:val="00F72C16"/>
    <w:rsid w:val="00F75296"/>
    <w:rsid w:val="00F761A9"/>
    <w:rsid w:val="00F77170"/>
    <w:rsid w:val="00F77BCB"/>
    <w:rsid w:val="00F83735"/>
    <w:rsid w:val="00F84274"/>
    <w:rsid w:val="00F901F7"/>
    <w:rsid w:val="00F94029"/>
    <w:rsid w:val="00FA1475"/>
    <w:rsid w:val="00FA377A"/>
    <w:rsid w:val="00FA3C38"/>
    <w:rsid w:val="00FA6D88"/>
    <w:rsid w:val="00FA7639"/>
    <w:rsid w:val="00FB7004"/>
    <w:rsid w:val="00FB7E88"/>
    <w:rsid w:val="00FC3F44"/>
    <w:rsid w:val="00FD2A15"/>
    <w:rsid w:val="00FD4016"/>
    <w:rsid w:val="00FD5D67"/>
    <w:rsid w:val="00FD67B7"/>
    <w:rsid w:val="00FD7D8C"/>
    <w:rsid w:val="00FF07B6"/>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EA611"/>
  <w15:docId w15:val="{AC1FEEFE-305A-4ECD-9F9E-44B3CA1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0B11F3"/>
    <w:pPr>
      <w:numPr>
        <w:numId w:val="7"/>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qFormat/>
    <w:rsid w:val="00F07361"/>
    <w:pPr>
      <w:numPr>
        <w:numId w:val="6"/>
      </w:numPr>
      <w:spacing w:before="200"/>
      <w:ind w:left="1491" w:hanging="357"/>
    </w:pPr>
  </w:style>
  <w:style w:type="paragraph" w:customStyle="1" w:styleId="TSB-Level2Numbers">
    <w:name w:val="TSB - Level 2 Numbers"/>
    <w:basedOn w:val="TSB-Level1Numbers"/>
    <w:link w:val="TSB-Level2NumbersChar"/>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9006-3F03-49F5-B00D-D8CC53E5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2</TotalTime>
  <Pages>17</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Eastell</dc:creator>
  <cp:lastModifiedBy>Corinne Hendry</cp:lastModifiedBy>
  <cp:revision>3</cp:revision>
  <cp:lastPrinted>2024-09-27T12:21:00Z</cp:lastPrinted>
  <dcterms:created xsi:type="dcterms:W3CDTF">2024-09-24T18:57:00Z</dcterms:created>
  <dcterms:modified xsi:type="dcterms:W3CDTF">2024-09-27T12:21:00Z</dcterms:modified>
</cp:coreProperties>
</file>